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A4D5B" w14:textId="313AEBA1" w:rsidR="00C8339F" w:rsidRPr="00152E30" w:rsidRDefault="00152E30" w:rsidP="00152E30">
      <w:r>
        <w:rPr>
          <w:rFonts w:ascii="Verdana" w:hAnsi="Verdana"/>
          <w:color w:val="333333"/>
          <w:sz w:val="20"/>
          <w:szCs w:val="20"/>
          <w:shd w:val="clear" w:color="auto" w:fill="FFFFFF"/>
        </w:rPr>
        <w:t>Днес Надзорният съвет на Националната здравноосигурителна каса (НЗОК) прие правила и ред за определяне на стойностите на дейностите за болнична медицинска помощ към договорите с изпълнителите.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Правилата представляват механизъм, чрез който ще се постигне по-справедливо разпределяне на средствата за болнична помощ, като целта е да има яснота и регулярност при плащанията към болниците. С новият механизъм РЗОК ще бъдат улеснени в разпределянето на средствата, а договорните партньори ще могат да планират разходите си.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>Правилата са приети на основание чл. 4, ал. 4 от Закона за бюджета на НЗОК за 2010 год. Те определят общата годишна стойност на разходите за болнична медицинска помощ на районните здравноосигурителни каси (РЗОК), както и общата стойност на делегираните бюджети за дейностите за болнична медицинска помощ, които са неразделна част от договорите с изпълнителите.</w:t>
      </w:r>
    </w:p>
    <w:sectPr w:rsidR="00C8339F" w:rsidRPr="00152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9"/>
    <w:rsid w:val="000D4859"/>
    <w:rsid w:val="00152E30"/>
    <w:rsid w:val="00C8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715C0"/>
  <w15:chartTrackingRefBased/>
  <w15:docId w15:val="{525C9387-4BFF-45E6-8436-A85DC51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2</cp:revision>
  <dcterms:created xsi:type="dcterms:W3CDTF">2022-08-26T11:35:00Z</dcterms:created>
  <dcterms:modified xsi:type="dcterms:W3CDTF">2022-08-26T11:35:00Z</dcterms:modified>
</cp:coreProperties>
</file>