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2D78" w14:textId="77777777" w:rsidR="00B610C8" w:rsidRPr="00B610C8" w:rsidRDefault="00B610C8" w:rsidP="00B610C8">
      <w:pPr>
        <w:spacing w:after="0" w:line="240" w:lineRule="auto"/>
        <w:jc w:val="center"/>
        <w:textAlignment w:val="baseline"/>
        <w:outlineLvl w:val="1"/>
        <w:rPr>
          <w:rFonts w:eastAsia="Times New Roman" w:cstheme="minorHAnsi"/>
          <w:b/>
          <w:bCs/>
          <w:color w:val="008158"/>
          <w:sz w:val="28"/>
          <w:szCs w:val="28"/>
          <w:lang w:eastAsia="bg-BG"/>
        </w:rPr>
      </w:pPr>
      <w:r w:rsidRPr="00B610C8">
        <w:rPr>
          <w:rFonts w:eastAsia="Times New Roman" w:cstheme="minorHAnsi"/>
          <w:b/>
          <w:bCs/>
          <w:color w:val="008158"/>
          <w:sz w:val="28"/>
          <w:szCs w:val="28"/>
          <w:lang w:eastAsia="bg-BG"/>
        </w:rPr>
        <w:t>Начало на ДСГ в България</w:t>
      </w:r>
    </w:p>
    <w:p w14:paraId="63153985" w14:textId="67913621" w:rsidR="00B610C8" w:rsidRPr="00B610C8" w:rsidRDefault="00B610C8" w:rsidP="00B610C8">
      <w:pPr>
        <w:spacing w:after="0" w:line="240" w:lineRule="auto"/>
        <w:rPr>
          <w:rFonts w:eastAsia="Times New Roman" w:cstheme="minorHAnsi"/>
          <w:sz w:val="36"/>
          <w:szCs w:val="36"/>
          <w:lang w:eastAsia="bg-BG"/>
        </w:rPr>
      </w:pPr>
      <w:r w:rsidRPr="00B610C8">
        <w:rPr>
          <w:rFonts w:eastAsia="Times New Roman" w:cstheme="minorHAnsi"/>
          <w:color w:val="FFFFFF"/>
          <w:sz w:val="24"/>
          <w:szCs w:val="24"/>
          <w:u w:val="single"/>
          <w:bdr w:val="none" w:sz="0" w:space="0" w:color="auto" w:frame="1"/>
          <w:lang w:eastAsia="bg-BG"/>
        </w:rPr>
        <w:t>«</w:t>
      </w:r>
    </w:p>
    <w:p w14:paraId="404C96DB" w14:textId="7D52CD69" w:rsidR="00B610C8" w:rsidRPr="00B610C8" w:rsidRDefault="00B610C8" w:rsidP="00B610C8">
      <w:pPr>
        <w:spacing w:after="0" w:line="240" w:lineRule="auto"/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bg-BG"/>
        </w:rPr>
      </w:pP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 xml:space="preserve">Идеята за въвеждане на </w:t>
      </w:r>
      <w:proofErr w:type="spellStart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кейс</w:t>
      </w:r>
      <w:proofErr w:type="spellEnd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-микс подхода </w:t>
      </w:r>
      <w:hyperlink r:id="rId4" w:tgtFrame="_self" w:history="1">
        <w:r w:rsidRPr="00B610C8">
          <w:rPr>
            <w:rFonts w:eastAsia="Times New Roman" w:cstheme="minorHAnsi"/>
            <w:color w:val="337AB7"/>
            <w:u w:val="single"/>
            <w:bdr w:val="none" w:sz="0" w:space="0" w:color="auto" w:frame="1"/>
            <w:lang w:eastAsia="bg-BG"/>
          </w:rPr>
          <w:t>(“Кейс-микс подход”)</w:t>
        </w:r>
      </w:hyperlink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 xml:space="preserve">и ДСГ в България датира </w:t>
      </w:r>
      <w:proofErr w:type="spellStart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отповече</w:t>
      </w:r>
      <w:proofErr w:type="spellEnd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 xml:space="preserve"> от 10 години. До момента са проведени няколко проекта, първият от които започва през 1993г. в Научно-практически център по здравноосигурителна система (с директор проф. Йордан Янчулев) и продължава последователно в следните структури на Министерство на здравеопазването:</w:t>
      </w:r>
    </w:p>
    <w:p w14:paraId="55442CD8" w14:textId="77777777" w:rsidR="00B610C8" w:rsidRPr="00B610C8" w:rsidRDefault="00B610C8" w:rsidP="00B610C8">
      <w:pPr>
        <w:spacing w:after="0" w:line="240" w:lineRule="auto"/>
        <w:ind w:firstLine="851"/>
        <w:textAlignment w:val="baseline"/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bg-BG"/>
        </w:rPr>
      </w:pP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 xml:space="preserve">-  център за финансови и управленски технологии в здравеопазването (с директор д-р Димитър Илиев и зам. директори д-р Иван </w:t>
      </w:r>
      <w:proofErr w:type="spellStart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Букарев</w:t>
      </w:r>
      <w:proofErr w:type="spellEnd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 xml:space="preserve"> и д-р Златица Петрова);</w:t>
      </w:r>
    </w:p>
    <w:p w14:paraId="337939C7" w14:textId="77777777" w:rsidR="00B610C8" w:rsidRPr="00B610C8" w:rsidRDefault="00B610C8" w:rsidP="00B610C8">
      <w:pPr>
        <w:spacing w:after="0" w:line="240" w:lineRule="auto"/>
        <w:ind w:firstLine="851"/>
        <w:textAlignment w:val="baseline"/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bg-BG"/>
        </w:rPr>
      </w:pP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-  национален център по обществено здраве (с директори проф. д-р Мирослав Попов и доц. д-р Любомир Иванов);</w:t>
      </w:r>
    </w:p>
    <w:p w14:paraId="4B6288A9" w14:textId="3B8D1DB0" w:rsidR="00ED3B50" w:rsidRPr="00B610C8" w:rsidRDefault="00B610C8" w:rsidP="00B610C8">
      <w:pPr>
        <w:spacing w:after="0" w:line="240" w:lineRule="auto"/>
        <w:ind w:firstLine="851"/>
        <w:textAlignment w:val="baseline"/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bg-BG"/>
        </w:rPr>
      </w:pP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-  национален център по финансиране в здравеопазването (с директор д-р Димитър Илиев).</w:t>
      </w:r>
      <w:r w:rsidRPr="00B610C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bg-BG"/>
        </w:rPr>
        <w:br/>
      </w:r>
      <w:r w:rsidRPr="00B610C8">
        <w:rPr>
          <w:rFonts w:eastAsia="Times New Roman" w:cstheme="minorHAnsi"/>
          <w:color w:val="333333"/>
          <w:sz w:val="32"/>
          <w:szCs w:val="32"/>
          <w:bdr w:val="none" w:sz="0" w:space="0" w:color="auto" w:frame="1"/>
          <w:lang w:eastAsia="bg-BG"/>
        </w:rPr>
        <w:br/>
      </w: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 xml:space="preserve">В края на 1993 г. Роберт </w:t>
      </w:r>
      <w:proofErr w:type="spellStart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Фетер</w:t>
      </w:r>
      <w:proofErr w:type="spellEnd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 xml:space="preserve"> е поканен в България. След запознаване на експерти от българските институции в сферата на здравеопазването със същността на </w:t>
      </w:r>
      <w:proofErr w:type="spellStart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кейс</w:t>
      </w:r>
      <w:proofErr w:type="spellEnd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 xml:space="preserve">-микс подхода и системата на ДСГ, през 1994 г., започва разработване на проект за внедряване на ДСГ в България, финансиран от USAID (Американска агенция за международно развитие). С нейна помощ и подизпълнители фирми 3М и AVT – </w:t>
      </w:r>
      <w:proofErr w:type="spellStart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Сonsulting</w:t>
      </w:r>
      <w:proofErr w:type="spellEnd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, са преведени Международната класификация на болестите – 9-та ревизия - клинична модификация (МКБ-9-КМ), ръководства и инструкции за ползването им. Разработен и внедрен е софтуер за отчет на болниците (средствата за първоначална разработка и доставка на програмен продукт в 11 болници са осигурени от проект на програма </w:t>
      </w:r>
      <w:r w:rsidRPr="00B610C8">
        <w:rPr>
          <w:rFonts w:eastAsia="Times New Roman" w:cstheme="minorHAnsi"/>
          <w:b/>
          <w:bCs/>
          <w:color w:val="333333"/>
          <w:bdr w:val="none" w:sz="0" w:space="0" w:color="auto" w:frame="1"/>
          <w:lang w:eastAsia="bg-BG"/>
        </w:rPr>
        <w:t>“PHARE”</w:t>
      </w: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), включващ и необходимите за целите на ДСГ параметри (линк “Параметри на ДСГ”).</w:t>
      </w: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br/>
      </w: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br/>
        <w:t>След обучение на персонала в единадесет болници в страната, се създадоха информационни звена за кодиране на преминалите болни. За тази дейност са ангажирани медицински специалисти, преминали обучение за кодиране по МКБ-9КМ, проведено от Барбара Флин от “Болнична асоциация” във Флорида.</w:t>
      </w: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br/>
      </w:r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br/>
        <w:t>Използва се методика за остойностяване на дейностите на ниво пациент. Обучиха се счетоводители за аналитично счетоводство и разпределение на разходите по метода “</w:t>
      </w:r>
      <w:proofErr w:type="spellStart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Стъпково</w:t>
      </w:r>
      <w:proofErr w:type="spellEnd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 xml:space="preserve"> разпределяне на разходите” (степ бай степ </w:t>
      </w:r>
      <w:proofErr w:type="spellStart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акаунтинг</w:t>
      </w:r>
      <w:proofErr w:type="spellEnd"/>
      <w:r w:rsidRPr="00B610C8">
        <w:rPr>
          <w:rFonts w:eastAsia="Times New Roman" w:cstheme="minorHAnsi"/>
          <w:color w:val="333333"/>
          <w:bdr w:val="none" w:sz="0" w:space="0" w:color="auto" w:frame="1"/>
          <w:lang w:eastAsia="bg-BG"/>
        </w:rPr>
        <w:t>), което позволява да се отнесат всички непреки разходи към пациента (напр. административни, вода, ток, транспортни и др.). Тази методика дава възможност на болничните мениджъри да планират, наблюдават и управляват разходите и да знаят колко ефективно разходват ресурсите.</w:t>
      </w:r>
    </w:p>
    <w:sectPr w:rsidR="00ED3B50" w:rsidRPr="00B61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51"/>
    <w:rsid w:val="005B5C51"/>
    <w:rsid w:val="00B610C8"/>
    <w:rsid w:val="00E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8254B"/>
  <w15:chartTrackingRefBased/>
  <w15:docId w15:val="{2335B429-F0EE-4081-A946-150007A3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5C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5C51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label">
    <w:name w:val="label"/>
    <w:basedOn w:val="DefaultParagraphFont"/>
    <w:rsid w:val="005B5C51"/>
  </w:style>
  <w:style w:type="character" w:styleId="Hyperlink">
    <w:name w:val="Hyperlink"/>
    <w:basedOn w:val="DefaultParagraphFont"/>
    <w:uiPriority w:val="99"/>
    <w:semiHidden/>
    <w:unhideWhenUsed/>
    <w:rsid w:val="005B5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hif.bg/upload/3960/kakvo_e_case_mix_podho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Стилян Горанов</dc:creator>
  <cp:keywords/>
  <dc:description/>
  <cp:lastModifiedBy>Стилян Горанов</cp:lastModifiedBy>
  <cp:revision>2</cp:revision>
  <dcterms:created xsi:type="dcterms:W3CDTF">2022-09-29T07:31:00Z</dcterms:created>
  <dcterms:modified xsi:type="dcterms:W3CDTF">2022-09-29T07:31:00Z</dcterms:modified>
</cp:coreProperties>
</file>