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6BD7">
      <w:pPr>
        <w:spacing w:before="100" w:beforeAutospacing="1" w:after="100" w:afterAutospacing="1" w:line="240" w:lineRule="auto"/>
        <w:jc w:val="center"/>
        <w:textAlignment w:val="center"/>
        <w:divId w:val="794252854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НАРЕДБА № 7 ОТ 6 НОЕМВРИ 2015 Г. ЗА КРИТЕРИИТЕ ЗА ОПРЕДЕЛЯНЕ НА ЗАБОЛЯВАНИЯТА, ЗА ЧИЕТО ДОМАШНО ЛЕЧЕНИЕ НАЦИОНАЛНАТА ЗДРАВНООСИГУРИТЕЛНА КАСА ЗАПЛАЩА НАПЪЛНО ИЛИ ЧАСТИЧНО ЛЕКАРСТВЕНИ ПРОДУКТИ, МЕДИЦИНСКИ ИЗДЕЛИЯ И ДИЕТИЧНИ ХРАНИ ЗА СПЕЦИАЛНИ МЕДИЦИНСКИ ЦЕЛ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И</w:t>
      </w:r>
    </w:p>
    <w:p w:rsidR="00000000" w:rsidRDefault="00206BD7">
      <w:pPr>
        <w:spacing w:after="0" w:line="240" w:lineRule="auto"/>
        <w:ind w:firstLine="1155"/>
        <w:textAlignment w:val="center"/>
        <w:divId w:val="192079687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министъра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здравеопазването</w:t>
      </w:r>
    </w:p>
    <w:p w:rsidR="00000000" w:rsidRDefault="00206BD7">
      <w:pPr>
        <w:spacing w:before="100" w:beforeAutospacing="1" w:after="100" w:afterAutospacing="1" w:line="240" w:lineRule="auto"/>
        <w:ind w:firstLine="1155"/>
        <w:jc w:val="both"/>
        <w:textAlignment w:val="center"/>
        <w:divId w:val="11799642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Обн. ДВ.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бр.89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17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ноември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2015г.,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доп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ДВ.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бр.71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27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август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2021г.</w:t>
      </w:r>
    </w:p>
    <w:p w:rsidR="00000000" w:rsidRDefault="00206BD7">
      <w:pPr>
        <w:spacing w:after="0" w:line="240" w:lineRule="auto"/>
        <w:ind w:firstLine="1155"/>
        <w:jc w:val="both"/>
        <w:textAlignment w:val="center"/>
        <w:divId w:val="1201433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1. (1)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 чието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лечение НЗОК заплаща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напълно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частично лекарствени продукти, медицински изделия и диетични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рани за специални медицински цели,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отговарят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следните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00000" w:rsidRDefault="00206BD7">
      <w:pPr>
        <w:spacing w:after="0" w:line="240" w:lineRule="auto"/>
        <w:ind w:firstLine="1155"/>
        <w:jc w:val="both"/>
        <w:textAlignment w:val="center"/>
        <w:divId w:val="694505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приложимо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лечение;</w:t>
      </w:r>
    </w:p>
    <w:p w:rsidR="00000000" w:rsidRDefault="00206BD7">
      <w:pPr>
        <w:spacing w:after="0" w:line="240" w:lineRule="auto"/>
        <w:ind w:firstLine="1155"/>
        <w:jc w:val="both"/>
        <w:textAlignment w:val="center"/>
        <w:divId w:val="10730489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провеждането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лечение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най-малко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четири от следните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00000" w:rsidRDefault="00206BD7">
      <w:pPr>
        <w:spacing w:after="0" w:line="240" w:lineRule="auto"/>
        <w:ind w:firstLine="1155"/>
        <w:jc w:val="both"/>
        <w:textAlignment w:val="center"/>
        <w:divId w:val="9096529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удължаване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продължителността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206BD7">
      <w:pPr>
        <w:spacing w:after="0" w:line="240" w:lineRule="auto"/>
        <w:ind w:firstLine="1155"/>
        <w:jc w:val="both"/>
        <w:textAlignment w:val="center"/>
        <w:divId w:val="8485210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подобряване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качеството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206BD7">
      <w:pPr>
        <w:spacing w:after="0" w:line="240" w:lineRule="auto"/>
        <w:ind w:firstLine="1155"/>
        <w:jc w:val="both"/>
        <w:textAlignment w:val="center"/>
        <w:divId w:val="1057701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намаляване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усложненията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206BD7">
      <w:pPr>
        <w:spacing w:after="0" w:line="240" w:lineRule="auto"/>
        <w:ind w:firstLine="1155"/>
        <w:jc w:val="both"/>
        <w:textAlignment w:val="center"/>
        <w:divId w:val="524751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намаляване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честотата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продължителността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неработоспособност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206BD7">
      <w:pPr>
        <w:spacing w:after="0" w:line="240" w:lineRule="auto"/>
        <w:ind w:firstLine="1155"/>
        <w:jc w:val="both"/>
        <w:textAlignment w:val="center"/>
        <w:divId w:val="686294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намаляване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настъпван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намалена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работоспособност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отлагането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206BD7">
      <w:pPr>
        <w:spacing w:after="0" w:line="240" w:lineRule="auto"/>
        <w:ind w:firstLine="1155"/>
        <w:jc w:val="both"/>
        <w:textAlignment w:val="center"/>
        <w:divId w:val="15742409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намаляване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хоспитализиране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206BD7">
      <w:pPr>
        <w:spacing w:after="0" w:line="240" w:lineRule="auto"/>
        <w:ind w:firstLine="1155"/>
        <w:jc w:val="both"/>
        <w:textAlignment w:val="center"/>
        <w:divId w:val="18915290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ж)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допълнителни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терапевтични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ползи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удобства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206BD7">
      <w:pPr>
        <w:spacing w:after="0" w:line="240" w:lineRule="auto"/>
        <w:ind w:firstLine="1155"/>
        <w:jc w:val="both"/>
        <w:textAlignment w:val="center"/>
        <w:divId w:val="1722096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следва да бъдат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най-малко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следните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00000" w:rsidRDefault="00206BD7">
      <w:pPr>
        <w:spacing w:after="0" w:line="240" w:lineRule="auto"/>
        <w:ind w:firstLine="1155"/>
        <w:jc w:val="both"/>
        <w:textAlignment w:val="center"/>
        <w:divId w:val="281156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има утвърден ред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диспансеризация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диспансерно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проследяване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прилаганото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лечение;</w:t>
      </w:r>
    </w:p>
    <w:p w:rsidR="00000000" w:rsidRDefault="00206BD7">
      <w:pPr>
        <w:spacing w:after="0" w:line="240" w:lineRule="auto"/>
        <w:ind w:firstLine="1155"/>
        <w:jc w:val="both"/>
        <w:textAlignment w:val="center"/>
        <w:divId w:val="1996911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заболяването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към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класовете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XVII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включително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класификация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болестите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(МКБ 10), които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заемат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първите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смъртността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умирания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хоспитализиранат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заболеваемост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или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първично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инвалидизираните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 в Република България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206BD7">
      <w:pPr>
        <w:spacing w:after="0" w:line="240" w:lineRule="auto"/>
        <w:ind w:firstLine="1155"/>
        <w:jc w:val="both"/>
        <w:textAlignment w:val="center"/>
        <w:divId w:val="171145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заболяването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място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първите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смъртността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умирания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МКБ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0;</w:t>
      </w:r>
    </w:p>
    <w:p w:rsidR="00000000" w:rsidRDefault="00206BD7">
      <w:pPr>
        <w:spacing w:after="0" w:line="240" w:lineRule="auto"/>
        <w:ind w:firstLine="1155"/>
        <w:jc w:val="both"/>
        <w:textAlignment w:val="center"/>
        <w:divId w:val="328293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протоколи за лечение/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терапевтични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схеми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206BD7">
      <w:pPr>
        <w:spacing w:after="120" w:line="240" w:lineRule="auto"/>
        <w:ind w:firstLine="1155"/>
        <w:jc w:val="both"/>
        <w:textAlignment w:val="center"/>
        <w:divId w:val="604002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води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усложнения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хоспитализации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намалена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работоспособност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увреждане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206BD7">
      <w:pPr>
        <w:spacing w:after="0" w:line="240" w:lineRule="auto"/>
        <w:ind w:firstLine="1155"/>
        <w:jc w:val="both"/>
        <w:textAlignment w:val="center"/>
        <w:divId w:val="17605599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Чл.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Националната здравноосигурителна каса заплаща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напълно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частично лекарствени продукти, медицински изделия и диетични храни за специални медицински цели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редките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списъка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ал. 1 от Наредба № 16 от 2014 г. за условията 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редките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експертните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референтните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мрежи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67 от 2014 г.), за които:</w:t>
      </w:r>
    </w:p>
    <w:p w:rsidR="00000000" w:rsidRDefault="00206BD7">
      <w:pPr>
        <w:spacing w:after="0" w:line="240" w:lineRule="auto"/>
        <w:ind w:firstLine="1155"/>
        <w:jc w:val="both"/>
        <w:textAlignment w:val="center"/>
        <w:divId w:val="6539195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приложимо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лечение, в т. ч.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амбулаторно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лечение;</w:t>
      </w:r>
    </w:p>
    <w:p w:rsidR="00000000" w:rsidRDefault="00206BD7">
      <w:pPr>
        <w:spacing w:after="120" w:line="240" w:lineRule="auto"/>
        <w:ind w:firstLine="1155"/>
        <w:jc w:val="both"/>
        <w:textAlignment w:val="center"/>
        <w:divId w:val="1673145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критериите по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 2 и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т. 1, 4 и 5.</w:t>
      </w:r>
    </w:p>
    <w:p w:rsidR="00000000" w:rsidRDefault="00206BD7">
      <w:pPr>
        <w:spacing w:after="120" w:line="240" w:lineRule="auto"/>
        <w:ind w:firstLine="1155"/>
        <w:jc w:val="both"/>
        <w:textAlignment w:val="center"/>
        <w:divId w:val="470758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3. Националната здравноосигурителна каса заплаща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напълно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частично лекарствени продукти, медицински изделия и диетични храни за специални медицински цели 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които 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възникнало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състояни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свързано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трансплантирани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тъкани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изкуствени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ако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отговарят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критериите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 1 и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т. 1 и 4.</w:t>
      </w:r>
    </w:p>
    <w:p w:rsidR="00000000" w:rsidRDefault="00206BD7">
      <w:pPr>
        <w:spacing w:after="120" w:line="240" w:lineRule="auto"/>
        <w:ind w:firstLine="1155"/>
        <w:jc w:val="both"/>
        <w:textAlignment w:val="center"/>
        <w:divId w:val="212156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71 от 2021 г., в сила от 27.08.2021 г.)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обявено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извънредно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епидемично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разпространение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заразни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3 от Закона за здравето или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обявена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извънредна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епидемична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епидемично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разпространение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заразна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Закона за здравето НЗОК може да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плаща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напълно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частично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лечение лекарствени продукти за лечение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инфекциозни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 които 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критериите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1, т. 1 и т. 2,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букви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"а", "б" и "в".</w:t>
      </w:r>
    </w:p>
    <w:p w:rsidR="00000000" w:rsidRDefault="00206BD7">
      <w:pPr>
        <w:spacing w:before="100" w:beforeAutospacing="1" w:after="100" w:afterAutospacing="1" w:line="240" w:lineRule="auto"/>
        <w:jc w:val="center"/>
        <w:textAlignment w:val="center"/>
        <w:divId w:val="201487065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разпоредби</w:t>
      </w:r>
    </w:p>
    <w:p w:rsidR="00000000" w:rsidRDefault="00206BD7">
      <w:pPr>
        <w:spacing w:after="150" w:line="240" w:lineRule="auto"/>
        <w:ind w:firstLine="1155"/>
        <w:jc w:val="both"/>
        <w:textAlignment w:val="center"/>
        <w:divId w:val="1357004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1.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утвърждаване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заповед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министъра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здравеопазването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първия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списък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1 от Наредба № 16 от 2014 г. за условията и реда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редките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експертните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референтните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мрежи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които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отговарят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§ 1, т. 42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допълнителните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разпоредби на Закона за здравето,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критериите по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тази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206BD7">
      <w:pPr>
        <w:spacing w:after="150" w:line="240" w:lineRule="auto"/>
        <w:ind w:firstLine="1155"/>
        <w:jc w:val="both"/>
        <w:textAlignment w:val="center"/>
        <w:divId w:val="1234663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2. Наредбата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основание чл.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осигуряване.</w:t>
      </w:r>
    </w:p>
    <w:p w:rsidR="00000000" w:rsidRDefault="00206BD7">
      <w:pPr>
        <w:spacing w:before="100" w:beforeAutospacing="1" w:after="100" w:afterAutospacing="1" w:line="240" w:lineRule="auto"/>
        <w:jc w:val="center"/>
        <w:textAlignment w:val="center"/>
        <w:divId w:val="203365175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КЪМ НАРЕДБА ЗА ДОПЪЛНЕНИЕ НА НАРЕДБА № 7 ОТ 6.11.2015 Г. ЗА КРИТЕРИИТЕ ЗА ОПРЕДЕЛЯНЕ НА ЗАБОЛЯВАНИЯТА, ЗА ЧИЕТО ДОМАШНО ЛЕЧЕНИЕ НАЦИОНАЛНАТА ЗДРАВНООСИГУРИТЕЛНА КАСА ЗАПЛАЩА НАПЪЛНО ИЛИ ЧАСТИЧНО ЛЕКАРСТВЕНИ ПРОДУКТИ, МЕДИЦИНСКИ ИЗДЕЛИЯ И ДИЕТИЧНИ ХРАНИ ЗА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СПЕЦИАЛНИ МЕДИЦИНСКИ ЦЕЛИ</w:t>
      </w:r>
    </w:p>
    <w:p w:rsidR="00000000" w:rsidRDefault="00206BD7">
      <w:pPr>
        <w:spacing w:after="0" w:line="240" w:lineRule="auto"/>
        <w:ind w:firstLine="1155"/>
        <w:jc w:val="both"/>
        <w:textAlignment w:val="center"/>
        <w:divId w:val="1823814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(ОБН. - ДВ, БР. 71 ОТ 2021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27.08.2021 Г.)</w:t>
      </w:r>
    </w:p>
    <w:p w:rsidR="00000000" w:rsidRDefault="00206BD7">
      <w:pPr>
        <w:spacing w:after="0" w:line="240" w:lineRule="auto"/>
        <w:ind w:firstLine="1155"/>
        <w:jc w:val="both"/>
        <w:textAlignment w:val="center"/>
        <w:divId w:val="1129930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BD7" w:rsidRDefault="00206BD7">
      <w:pPr>
        <w:ind w:firstLine="1155"/>
        <w:jc w:val="both"/>
        <w:textAlignment w:val="center"/>
        <w:divId w:val="1328437179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2. Наредбата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обнародването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ѝ в "Държавен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sectPr w:rsidR="00206BD7">
      <w:footerReference w:type="default" r:id="rId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BD7" w:rsidRDefault="00206BD7">
      <w:pPr>
        <w:spacing w:after="0" w:line="240" w:lineRule="auto"/>
      </w:pPr>
      <w:r>
        <w:separator/>
      </w:r>
    </w:p>
  </w:endnote>
  <w:endnote w:type="continuationSeparator" w:id="0">
    <w:p w:rsidR="00206BD7" w:rsidRDefault="0020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1AC" w:rsidRDefault="00206BD7">
    <w:proofErr w:type="spellStart"/>
    <w:r>
      <w:t>Източник</w:t>
    </w:r>
    <w:proofErr w:type="spellEnd"/>
    <w:r>
      <w:t>: Правно-</w:t>
    </w:r>
    <w:proofErr w:type="spellStart"/>
    <w:r>
      <w:t>информационни</w:t>
    </w:r>
    <w:proofErr w:type="spellEnd"/>
    <w:r>
      <w:t xml:space="preserve"> </w:t>
    </w:r>
    <w:proofErr w:type="spellStart"/>
    <w:r>
      <w:t>системи</w:t>
    </w:r>
    <w:proofErr w:type="spellEnd"/>
    <w:r>
      <w:t xml:space="preserve"> "</w:t>
    </w:r>
    <w:proofErr w:type="spellStart"/>
    <w:r>
      <w:t>Сиела</w:t>
    </w:r>
    <w:proofErr w:type="spellEnd"/>
    <w: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BD7" w:rsidRDefault="00206BD7">
      <w:pPr>
        <w:spacing w:after="0" w:line="240" w:lineRule="auto"/>
      </w:pPr>
      <w:r>
        <w:separator/>
      </w:r>
    </w:p>
  </w:footnote>
  <w:footnote w:type="continuationSeparator" w:id="0">
    <w:p w:rsidR="00206BD7" w:rsidRDefault="00206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AC"/>
    <w:rsid w:val="00206BD7"/>
    <w:rsid w:val="008371AC"/>
    <w:rsid w:val="00E8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254AAA-15F8-4E2A-9A81-70B98D74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9">
    <w:name w:val="title2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62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4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34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6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34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70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8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517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 Стоянова Димитрова</dc:creator>
  <cp:lastModifiedBy>Светла Стоянова Димитрова</cp:lastModifiedBy>
  <cp:revision>2</cp:revision>
  <dcterms:created xsi:type="dcterms:W3CDTF">2022-09-09T07:23:00Z</dcterms:created>
  <dcterms:modified xsi:type="dcterms:W3CDTF">2022-09-09T07:23:00Z</dcterms:modified>
</cp:coreProperties>
</file>