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1870"/>
        <w:gridCol w:w="1727"/>
        <w:gridCol w:w="38"/>
      </w:tblGrid>
      <w:tr w:rsidR="00EF7F43" w:rsidRPr="00EF7F43" w:rsidTr="00C11CA5">
        <w:trPr>
          <w:trHeight w:val="60"/>
        </w:trPr>
        <w:tc>
          <w:tcPr>
            <w:tcW w:w="935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C11CA5">
            <w:pPr>
              <w:spacing w:before="100" w:after="0" w:line="180" w:lineRule="atLeast"/>
              <w:ind w:right="283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ДЕКЛАРАЦИЯ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съгласно чл. ….. от НРД за медицинските дейности за 2023 – 2025 г. с информацията за дейността на лечебно заведение – изпълнител на първична </w:t>
            </w:r>
            <w:proofErr w:type="spellStart"/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извънболнична</w:t>
            </w:r>
            <w:proofErr w:type="spellEnd"/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медицинска помощ (ПИМП)</w:t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………………………………………………………………….............................................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bg-BG"/>
              </w:rPr>
              <w:t>(наименование и вид на лечебното заведение – изпълнител на ПИМП)</w:t>
            </w:r>
            <w:r w:rsidRPr="00EF7F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………………….……………………………………………………………………………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bg-BG"/>
              </w:rPr>
              <w:t>месторазположение на лечебното заведение (адрес/и на помещенията, в които ще се извършва лечебната дейност)</w:t>
            </w:r>
            <w:r w:rsidRPr="00EF7F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представлявано от ………………………………………………………………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лечебното заведение)</w:t>
            </w:r>
            <w:r w:rsidRPr="00EF7F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ИАМН/РЗИ № ………………………………………..</w:t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(за лечебните заведения за </w:t>
            </w:r>
            <w:proofErr w:type="spellStart"/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извънболнична</w:t>
            </w:r>
            <w:proofErr w:type="spellEnd"/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помощ)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или</w:t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br/>
              <w:t>ПМС № ................./............ г. за откриване/преобразуване на лечебното заведение</w:t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(за лечебните заведения за болнична помощ по чл. 5, ал. 1 от ЗЛЗ – изпълнители на ПИМП)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</w: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Декларирам:</w:t>
            </w:r>
          </w:p>
          <w:p w:rsidR="00EF7F43" w:rsidRPr="00EF7F43" w:rsidRDefault="00EF7F43" w:rsidP="00C11CA5">
            <w:pPr>
              <w:spacing w:before="57" w:after="57" w:line="180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1. Списък на лекаря(</w:t>
            </w:r>
            <w:proofErr w:type="spellStart"/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ите</w:t>
            </w:r>
            <w:proofErr w:type="spellEnd"/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), изпълняващ(и) първична </w:t>
            </w:r>
            <w:proofErr w:type="spellStart"/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извънболнична</w:t>
            </w:r>
            <w:proofErr w:type="spellEnd"/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медицинска помощ: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F7F43" w:rsidRPr="00EF7F43" w:rsidRDefault="00EF7F43" w:rsidP="00C11C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</w:p>
        </w:tc>
      </w:tr>
      <w:tr w:rsidR="00EF7F43" w:rsidRPr="00EF7F43" w:rsidTr="00C11CA5">
        <w:trPr>
          <w:trHeight w:val="170"/>
        </w:trPr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Име и фамилия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Специалност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Месечно работно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  <w:t>време в часове</w:t>
            </w:r>
          </w:p>
        </w:tc>
      </w:tr>
      <w:tr w:rsidR="00EF7F43" w:rsidRPr="00EF7F43" w:rsidTr="00C11CA5">
        <w:trPr>
          <w:trHeight w:val="170"/>
        </w:trPr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73635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73635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73635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73635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73635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73635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  <w:tr w:rsidR="00EF7F43" w:rsidRPr="00EF7F43" w:rsidTr="00C11CA5"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F43" w:rsidRPr="00EF7F43" w:rsidRDefault="00EF7F43" w:rsidP="00C11C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F43" w:rsidRPr="00EF7F43" w:rsidRDefault="00EF7F43" w:rsidP="00C11C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F43" w:rsidRPr="00EF7F43" w:rsidRDefault="00EF7F43" w:rsidP="00C11C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F43" w:rsidRPr="00EF7F43" w:rsidRDefault="00EF7F43" w:rsidP="00C11C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  <w:t> </w:t>
            </w:r>
          </w:p>
        </w:tc>
      </w:tr>
    </w:tbl>
    <w:p w:rsidR="00EF7F43" w:rsidRPr="00EF7F43" w:rsidRDefault="00EF7F43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EF7F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bg-BG"/>
        </w:rPr>
        <w:t>2. Работя със следния нает персонал:</w:t>
      </w: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2113"/>
        <w:gridCol w:w="1312"/>
        <w:gridCol w:w="1146"/>
        <w:gridCol w:w="1278"/>
        <w:gridCol w:w="1437"/>
      </w:tblGrid>
      <w:tr w:rsidR="00EF7F43" w:rsidRPr="00EF7F43" w:rsidTr="00C11CA5">
        <w:trPr>
          <w:trHeight w:val="17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Име и фамилия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Образователна квалификационна степен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Специалност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  <w:t>(за лекари)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№ на договор на наетото лице с ЛЗ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Срок на договор на наетото лице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  <w:t>(от … до)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Месечно работно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  <w:t>време в часове</w:t>
            </w:r>
          </w:p>
        </w:tc>
      </w:tr>
      <w:tr w:rsidR="00EF7F43" w:rsidRPr="00EF7F43" w:rsidTr="00C11CA5">
        <w:trPr>
          <w:trHeight w:val="170"/>
        </w:trPr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EF7F43" w:rsidRPr="00EF7F43" w:rsidRDefault="00EF7F43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EF7F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bg-BG"/>
        </w:rPr>
        <w:t>3.1. Работя със следната медицинска сестра/и, акушерка/и и/или лекарски асистент/и: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1824"/>
        <w:gridCol w:w="832"/>
        <w:gridCol w:w="1108"/>
        <w:gridCol w:w="1235"/>
        <w:gridCol w:w="1214"/>
      </w:tblGrid>
      <w:tr w:rsidR="00EF7F43" w:rsidRPr="00EF7F43" w:rsidTr="00C11CA5">
        <w:trPr>
          <w:trHeight w:val="170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Име и фамилия на медицинска сестра/акушерка/лекарски асистент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Образователна квалификационна степен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УИН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№ на договор </w:t>
            </w:r>
            <w:proofErr w:type="spellStart"/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нанаетото</w:t>
            </w:r>
            <w:proofErr w:type="spellEnd"/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 xml:space="preserve"> лице с ЛЗ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Срок на договор на наетото лице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  <w:t>(от … до)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Месечно работно</w:t>
            </w: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br/>
              <w:t>време в часове</w:t>
            </w:r>
          </w:p>
        </w:tc>
      </w:tr>
      <w:tr w:rsidR="00EF7F43" w:rsidRPr="00EF7F43" w:rsidTr="00C11CA5">
        <w:trPr>
          <w:trHeight w:val="170"/>
        </w:trPr>
        <w:tc>
          <w:tcPr>
            <w:tcW w:w="2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2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F7F43" w:rsidRPr="00EF7F43" w:rsidRDefault="00EF7F43" w:rsidP="00EF7F43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EF7F43" w:rsidRPr="00EF7F43" w:rsidRDefault="00EF7F43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EF7F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bg-BG"/>
        </w:rPr>
        <w:t>3.2. Работя със следната индивидуална или групова практика за здравни грижи:</w:t>
      </w: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405"/>
        <w:gridCol w:w="1497"/>
        <w:gridCol w:w="804"/>
        <w:gridCol w:w="1419"/>
        <w:gridCol w:w="1470"/>
        <w:gridCol w:w="955"/>
      </w:tblGrid>
      <w:tr w:rsidR="00EF7F43" w:rsidRPr="00EF7F43" w:rsidTr="00C11CA5">
        <w:trPr>
          <w:trHeight w:val="17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Име на индивидуална или групова практика за здравни грижи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Име и фамилия на медицинска сестра, акушерка или лекарски асистент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Образователна квалификационна степен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УИН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№ на договор на индивидуална или групова практика за здравни грижи с ЛЗ</w:t>
            </w:r>
          </w:p>
        </w:tc>
        <w:tc>
          <w:tcPr>
            <w:tcW w:w="1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Срок на договор на индивидуална или групова практика за здравни грижи с ЛЗ</w:t>
            </w: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br/>
              <w:t>(от … до)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Месечно работно време в часове</w:t>
            </w:r>
          </w:p>
        </w:tc>
      </w:tr>
      <w:tr w:rsidR="00EF7F43" w:rsidRPr="00EF7F43" w:rsidTr="00C11CA5">
        <w:trPr>
          <w:trHeight w:val="170"/>
        </w:trPr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</w:tbl>
    <w:p w:rsidR="0073635C" w:rsidRDefault="0073635C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bg-BG"/>
        </w:rPr>
      </w:pPr>
    </w:p>
    <w:p w:rsidR="0073635C" w:rsidRDefault="0073635C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bg-BG"/>
        </w:rPr>
      </w:pPr>
    </w:p>
    <w:p w:rsidR="0073635C" w:rsidRDefault="0073635C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bg-BG"/>
        </w:rPr>
      </w:pPr>
    </w:p>
    <w:p w:rsidR="00EF7F43" w:rsidRPr="00EF7F43" w:rsidRDefault="00EF7F43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17"/>
          <w:szCs w:val="17"/>
          <w:lang w:eastAsia="bg-BG"/>
        </w:rPr>
      </w:pPr>
      <w:r w:rsidRPr="00EF7F43">
        <w:rPr>
          <w:rFonts w:ascii="Times New Roman" w:eastAsia="Times New Roman" w:hAnsi="Times New Roman"/>
          <w:b/>
          <w:bCs/>
          <w:color w:val="000000"/>
          <w:sz w:val="17"/>
          <w:szCs w:val="17"/>
          <w:lang w:eastAsia="bg-BG"/>
        </w:rPr>
        <w:lastRenderedPageBreak/>
        <w:t>4. Работен график за всеки ОПЛ, отговарящ на изискванията на НРД, включващ: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48"/>
        <w:gridCol w:w="1086"/>
        <w:gridCol w:w="982"/>
        <w:gridCol w:w="1109"/>
        <w:gridCol w:w="944"/>
        <w:gridCol w:w="1003"/>
        <w:gridCol w:w="945"/>
      </w:tblGrid>
      <w:tr w:rsidR="00EF7F43" w:rsidRPr="00EF7F43" w:rsidTr="00C11CA5">
        <w:trPr>
          <w:trHeight w:val="1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Посещения за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Понеделник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Вторник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Сряда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Четвъртък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Петък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Събота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Неделя</w:t>
            </w: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br/>
              <w:t>(от … до)</w:t>
            </w:r>
          </w:p>
        </w:tc>
      </w:tr>
      <w:tr w:rsidR="00EF7F43" w:rsidRPr="00EF7F43" w:rsidTr="00C11CA5">
        <w:trPr>
          <w:trHeight w:val="170"/>
        </w:trPr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73635C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7363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Амбулаторни прегледи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73635C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7363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Домашни прегледи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73635C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7363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Промотивна</w:t>
            </w:r>
            <w:proofErr w:type="spellEnd"/>
            <w:r w:rsidRPr="007363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и профилактична дейност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73635C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7363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Дейност по „Детско здравеопазване“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  <w:tr w:rsidR="00EF7F43" w:rsidRPr="00EF7F43" w:rsidTr="00C11CA5">
        <w:trPr>
          <w:trHeight w:val="170"/>
        </w:trPr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73635C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73635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Дейност по „Майчино здравеопазване“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7F43" w:rsidRPr="00EF7F43" w:rsidRDefault="00EF7F43" w:rsidP="00C11CA5">
            <w:pPr>
              <w:spacing w:before="57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bg-BG"/>
              </w:rPr>
            </w:pPr>
            <w:r w:rsidRPr="00EF7F4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bg-BG"/>
              </w:rPr>
              <w:t> </w:t>
            </w:r>
          </w:p>
        </w:tc>
      </w:tr>
    </w:tbl>
    <w:p w:rsidR="00EF7F43" w:rsidRPr="00AB7655" w:rsidRDefault="00EF7F43" w:rsidP="00EF7F43">
      <w:pPr>
        <w:spacing w:before="113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3635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Забележки: </w:t>
      </w:r>
      <w:r w:rsidRPr="0073635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ОПЛ могат да извършват дейности извън работния график, включени в Наредбата за определяне на пакета здравни дейности,</w:t>
      </w:r>
      <w:r w:rsidRPr="00EF7F43">
        <w:rPr>
          <w:rFonts w:ascii="Times New Roman" w:eastAsia="Times New Roman" w:hAnsi="Times New Roman"/>
          <w:color w:val="000000"/>
          <w:sz w:val="14"/>
          <w:szCs w:val="14"/>
          <w:lang w:eastAsia="bg-BG"/>
        </w:rPr>
        <w:t xml:space="preserve"> 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гарантиран от бюджета на Национална здравноосигурителна каса в часовете от 8:00 до 20:00 часа в работни дни. При възникнала необходимост от извършване на профилактични прегледи, имунизации, диспансерни прегледи извън обявения работен график и извън посочените по-горе часове и работни дни изпълнителят на медицинска помощ уведомява РЗОК по реда на чл. 122.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Работният график следва да съдържа и местонахождение, телефон на практиката и други начини за контакт със заместника (т. 4.1), а също и местонахождение, телефон и други начини за контакт и с дежурния кабинет и/или лечебното заведение, осигуряващи медицинска помощ на пациентите извън графика на избрания ОПЛ (в случай че е избран един от следните начини по: т. 5.1, 5.2, 5.3 – 5.3.1, 5.3.2, 5.3.3.).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bg-BG"/>
        </w:rPr>
        <w:t>Работният график ще бъде изложен на видно място в амбулаторията/</w:t>
      </w:r>
      <w:proofErr w:type="spellStart"/>
      <w:r w:rsidRPr="00AB765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bg-BG"/>
        </w:rPr>
        <w:t>ите</w:t>
      </w:r>
      <w:proofErr w:type="spellEnd"/>
      <w:r w:rsidRPr="00AB765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bg-BG"/>
        </w:rPr>
        <w:t xml:space="preserve"> за информация на ЗОЛ.</w:t>
      </w:r>
    </w:p>
    <w:p w:rsidR="00EF7F43" w:rsidRPr="00AB7655" w:rsidRDefault="00EF7F43" w:rsidP="002804BF">
      <w:pPr>
        <w:spacing w:before="100" w:beforeAutospacing="1" w:after="100" w:afterAutospacing="1" w:line="185" w:lineRule="atLeast"/>
        <w:ind w:firstLine="283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4.1. Заместник на ОПЛ: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  <w:t>     ……………………………………………………………….................................................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  <w:t>    </w:t>
      </w:r>
      <w:r w:rsidRPr="00AB76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(име и фамилия на заместващия лекар)</w:t>
      </w:r>
      <w:r w:rsidRPr="00AB76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br/>
        <w:t>    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Адрес ……………………………………………., тел. .…………………., </w:t>
      </w:r>
      <w:proofErr w:type="spellStart"/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моб</w:t>
      </w:r>
      <w:proofErr w:type="spellEnd"/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тел. .…</w:t>
      </w:r>
    </w:p>
    <w:p w:rsidR="00EF7F43" w:rsidRPr="00AB7655" w:rsidRDefault="00EF7F43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 Предприемам/е мерки за осигуряване на достъп до медицинска помощ извън обявения си работен график на здравноосигурените лица по един от следните начини:</w:t>
      </w:r>
    </w:p>
    <w:p w:rsidR="00EF7F43" w:rsidRPr="00AB7655" w:rsidRDefault="00281658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instrText xml:space="preserve"> FORMCHECKBOX </w:instrText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end"/>
      </w:r>
      <w:bookmarkEnd w:id="0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5.1. Чрез дежурен кабинет на груповата практика за първична </w:t>
      </w:r>
      <w:proofErr w:type="spellStart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извънболнична</w:t>
      </w:r>
      <w:proofErr w:type="spellEnd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помощ, в която е </w:t>
      </w:r>
      <w:proofErr w:type="spellStart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съучредител</w:t>
      </w:r>
      <w:proofErr w:type="spellEnd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EF7F43" w:rsidRPr="00AB7655" w:rsidRDefault="00281658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instrText xml:space="preserve"> FORMCHECKBOX </w:instrText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end"/>
      </w:r>
      <w:bookmarkEnd w:id="1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5.2. Чрез дежурен кабинет, организиран на функционален принцип на базата на сключен договор по чл. 95, ал. 1, т. 1 от Закона за лечебните заведения с други лечебни заведения за първична </w:t>
      </w:r>
      <w:proofErr w:type="spellStart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извънболнична</w:t>
      </w:r>
      <w:proofErr w:type="spellEnd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медицинска помощ и утвърден от лечебните заведения график за осигуряване на дейността на кабинета.</w:t>
      </w:r>
    </w:p>
    <w:p w:rsidR="00EF7F43" w:rsidRPr="00AB7655" w:rsidRDefault="00EF7F43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5.3. По договор с най-близко разположеното:</w:t>
      </w:r>
    </w:p>
    <w:p w:rsidR="00EF7F43" w:rsidRPr="00AB7655" w:rsidRDefault="00281658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instrText xml:space="preserve"> FORMCHECKBOX </w:instrText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end"/>
      </w:r>
      <w:bookmarkEnd w:id="2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5.3.1. лечебно заведение за болнична помощ, което е разкрило дежурен кабинет;</w:t>
      </w:r>
    </w:p>
    <w:p w:rsidR="00EF7F43" w:rsidRPr="00AB7655" w:rsidRDefault="00281658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instrText xml:space="preserve"> FORMCHECKBOX </w:instrText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end"/>
      </w:r>
      <w:bookmarkEnd w:id="3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5.3.2. лечебно заведение по чл. 8, ал. 1, т. 1, буква „б“ и/или по т. 2, букви „б“, „в“ или „г“ от Закона за лечебните заведения, което е разкрило дежурен кабинет;</w:t>
      </w:r>
    </w:p>
    <w:p w:rsidR="00EF7F43" w:rsidRPr="00AB7655" w:rsidRDefault="00281658" w:rsidP="007B45C5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instrText xml:space="preserve"> FORMCHECKBOX </w:instrText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r>
      <w:r w:rsidR="007B6FF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end"/>
      </w:r>
      <w:bookmarkEnd w:id="4"/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5.3.3. лечебно заведение по чл. 10, т. 1 от Закона за лечебните заведения с разкрити филиали за спешна медицинска помощ.</w:t>
      </w:r>
    </w:p>
    <w:bookmarkStart w:id="5" w:name="_GoBack"/>
    <w:bookmarkEnd w:id="5"/>
    <w:p w:rsidR="00EF7F43" w:rsidRPr="00AB7655" w:rsidRDefault="00C91019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fldChar w:fldCharType="end"/>
      </w:r>
      <w:r w:rsidR="00EF7F43"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5.4. Индивидуално чрез 24-часово осигуряване на консултация по телефона, осъществяване на необходимите дейности в амбулаторията или в дома на пациента по преценка на общопрактикуващ лекар.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6. Лечебните заведения, с които общопрактикуващият лекар може да сключи договор по т. 5.3.1 и 5.3.2, както и съответният обслужващ филиал по т. 5.3.3, трябва да се намират на отстояние не повече от 40 км от месторазположението на практиката на общопрактикуващия лекар (</w:t>
      </w:r>
      <w:proofErr w:type="spellStart"/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относимо</w:t>
      </w:r>
      <w:proofErr w:type="spellEnd"/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всеки един от адресите на практиката едновременно).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7. Дежурните кабинети извършват само диагностично-лечебните дейности по т. VI, с изключение на маркираните със знак „*“.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8. С договорите по т. 5 могат да бъдат възлагани само дейности, които могат да бъдат извършвани от дежурни кабинети.</w:t>
      </w:r>
    </w:p>
    <w:p w:rsidR="00EF7F43" w:rsidRPr="00AB7655" w:rsidRDefault="00EF7F43" w:rsidP="00281658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9. Осигуряването на достъп до медицинска помощ на здравноосигурените лица извън обявения работ</w:t>
      </w:r>
      <w:r w:rsidR="002804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 график по т. 4, по един от посочените начини, в т.</w:t>
      </w:r>
      <w:r w:rsidR="00281658" w:rsidRPr="00281658">
        <w:rPr>
          <w:rFonts w:ascii="Times New Roman" w:eastAsia="Times New Roman" w:hAnsi="Times New Roman"/>
          <w:b/>
          <w:color w:val="000000"/>
          <w:sz w:val="24"/>
          <w:szCs w:val="24"/>
          <w:highlight w:val="lightGray"/>
          <w:lang w:eastAsia="bg-BG"/>
        </w:rPr>
        <w:t xml:space="preserve"> </w:t>
      </w:r>
      <w:sdt>
        <w:sdtPr>
          <w:rPr>
            <w:rFonts w:ascii="Times New Roman" w:eastAsia="Times New Roman" w:hAnsi="Times New Roman"/>
            <w:b/>
            <w:color w:val="000000"/>
            <w:sz w:val="24"/>
            <w:szCs w:val="24"/>
            <w:highlight w:val="lightGray"/>
            <w:lang w:eastAsia="bg-BG"/>
          </w:rPr>
          <w:id w:val="86971184"/>
          <w:placeholder>
            <w:docPart w:val="9756F5AFF8104FE5B289E7CE4E2317F6"/>
          </w:placeholder>
          <w:comboBox>
            <w:listItem w:displayText="--------" w:value="--------"/>
            <w:listItem w:displayText="5.1" w:value="5.1"/>
            <w:listItem w:displayText="5.2" w:value="5.2"/>
            <w:listItem w:displayText="5.3.1" w:value="5.3.1"/>
            <w:listItem w:displayText="5.3.2" w:value="5.3.2"/>
            <w:listItem w:displayText="5.3.3" w:value="5.3.3"/>
          </w:comboBox>
        </w:sdtPr>
        <w:sdtEndPr/>
        <w:sdtContent>
          <w:r w:rsidR="005B7498">
            <w:rPr>
              <w:rFonts w:ascii="Times New Roman" w:eastAsia="Times New Roman" w:hAnsi="Times New Roman"/>
              <w:b/>
              <w:color w:val="000000"/>
              <w:sz w:val="24"/>
              <w:szCs w:val="24"/>
              <w:highlight w:val="lightGray"/>
              <w:lang w:eastAsia="bg-BG"/>
            </w:rPr>
            <w:t>--------</w:t>
          </w:r>
        </w:sdtContent>
      </w:sdt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ще се извършва от</w:t>
      </w:r>
    </w:p>
    <w:p w:rsidR="00EF7F43" w:rsidRPr="00AB7655" w:rsidRDefault="00EF7F43" w:rsidP="00281658">
      <w:pPr>
        <w:spacing w:after="0" w:line="185" w:lineRule="atLeast"/>
        <w:jc w:val="center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81658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t>(посочва се един от изброените начини по т. 5.1, по т. 5.2 или по т. 5.3.1, 5.3.2 и 5.3.3)</w:t>
      </w:r>
      <w:r w:rsidRPr="00281658">
        <w:rPr>
          <w:rFonts w:ascii="Times New Roman" w:eastAsia="Times New Roman" w:hAnsi="Times New Roman"/>
          <w:i/>
          <w:color w:val="000000"/>
          <w:sz w:val="20"/>
          <w:szCs w:val="20"/>
          <w:lang w:eastAsia="bg-BG"/>
        </w:rPr>
        <w:br/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………………………………………………………………….............................................……..........................................................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</w:r>
      <w:r w:rsidRPr="00AB76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(наименование и вид на лечебното заведение)</w:t>
      </w:r>
      <w:r w:rsidRPr="00AB76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br/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адрес …………………………………..............…………………………………., тел. …………………., </w:t>
      </w:r>
      <w:proofErr w:type="spellStart"/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моб</w:t>
      </w:r>
      <w:proofErr w:type="spellEnd"/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тел. ….....................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10. Лекарите – членове на ТЕЛК/НЕЛК упражняват дейностите по медицинска експертиза, които подлежат на техен контрол, при спазване на изискванията на чл. 106 от ЗЗ.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11. Разполагам с изискуемото оборудване и обзавеждане съгласно приложение № 9 към НРД за медицинските дейности за 2023 – 2025 г</w:t>
      </w:r>
      <w:r w:rsidRPr="00281658">
        <w:rPr>
          <w:rFonts w:ascii="Times New Roman" w:eastAsia="Times New Roman" w:hAnsi="Times New Roman"/>
          <w:b/>
          <w:color w:val="000000"/>
          <w:sz w:val="24"/>
          <w:szCs w:val="24"/>
          <w:highlight w:val="lightGray"/>
          <w:lang w:eastAsia="bg-BG"/>
        </w:rPr>
        <w:t xml:space="preserve">. </w:t>
      </w:r>
      <w:sdt>
        <w:sdtPr>
          <w:rPr>
            <w:rFonts w:ascii="Times New Roman" w:eastAsia="Times New Roman" w:hAnsi="Times New Roman"/>
            <w:b/>
            <w:color w:val="000000"/>
            <w:sz w:val="24"/>
            <w:szCs w:val="24"/>
            <w:highlight w:val="lightGray"/>
            <w:lang w:eastAsia="bg-BG"/>
          </w:rPr>
          <w:id w:val="-628469613"/>
          <w:placeholder>
            <w:docPart w:val="DefaultPlaceholder_-1854013439"/>
          </w:placeholder>
          <w:dropDownList>
            <w:listItem w:displayText="Изберете" w:value="Изберете"/>
            <w:listItem w:displayText="самостоятелно" w:value="самостоятелно"/>
            <w:listItem w:displayText="съвместно с" w:value="съвместно с"/>
          </w:dropDownList>
        </w:sdtPr>
        <w:sdtEndPr/>
        <w:sdtContent>
          <w:r w:rsidR="00664990">
            <w:rPr>
              <w:rFonts w:ascii="Times New Roman" w:eastAsia="Times New Roman" w:hAnsi="Times New Roman"/>
              <w:b/>
              <w:color w:val="000000"/>
              <w:sz w:val="24"/>
              <w:szCs w:val="24"/>
              <w:highlight w:val="lightGray"/>
              <w:lang w:eastAsia="bg-BG"/>
            </w:rPr>
            <w:t>Изберете</w:t>
          </w:r>
        </w:sdtContent>
      </w:sdt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......................................................................................................................................................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 промяна в обстоятелствата по сключения договор с НЗОК се задължавам в срок до 5 работни дни да уведомя писмено РЗОК на хартиен носител или в срок до 3 работни дни по електронен път.</w:t>
      </w:r>
    </w:p>
    <w:p w:rsidR="00EF7F43" w:rsidRPr="00AB7655" w:rsidRDefault="00EF7F43" w:rsidP="00EF7F43">
      <w:pPr>
        <w:spacing w:before="100" w:beforeAutospacing="1" w:after="100" w:afterAutospacing="1" w:line="185" w:lineRule="atLeast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 промяна в графика за обслужване на пациентите се задължавам в срок до 3 календарни дни да уведомя РЗОК и да изпратя актуалния график писмено или по електронна поща, подписано с електронен подпис.</w:t>
      </w:r>
    </w:p>
    <w:p w:rsidR="00EF7F43" w:rsidRPr="00AB7655" w:rsidRDefault="00EF7F43" w:rsidP="00EF7F43">
      <w:pPr>
        <w:spacing w:before="57" w:after="100" w:afterAutospacing="1" w:line="185" w:lineRule="atLeast"/>
        <w:ind w:firstLine="283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804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Декларатор: ……………..................</w:t>
      </w:r>
      <w:r w:rsidRPr="002804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  </w:t>
      </w:r>
      <w:r w:rsidRPr="00AB765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(име и фамилия) (собственоръчен/електронен подпис)</w:t>
      </w:r>
      <w:r w:rsidRPr="00AB76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“</w:t>
      </w:r>
    </w:p>
    <w:sectPr w:rsidR="00EF7F43" w:rsidRPr="00AB76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FA" w:rsidRDefault="007B6FFA" w:rsidP="0073635C">
      <w:pPr>
        <w:spacing w:after="0" w:line="240" w:lineRule="auto"/>
      </w:pPr>
      <w:r>
        <w:separator/>
      </w:r>
    </w:p>
  </w:endnote>
  <w:endnote w:type="continuationSeparator" w:id="0">
    <w:p w:rsidR="007B6FFA" w:rsidRDefault="007B6FFA" w:rsidP="0073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2621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635C" w:rsidRDefault="00736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0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35C" w:rsidRDefault="0073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FA" w:rsidRDefault="007B6FFA" w:rsidP="0073635C">
      <w:pPr>
        <w:spacing w:after="0" w:line="240" w:lineRule="auto"/>
      </w:pPr>
      <w:r>
        <w:separator/>
      </w:r>
    </w:p>
  </w:footnote>
  <w:footnote w:type="continuationSeparator" w:id="0">
    <w:p w:rsidR="007B6FFA" w:rsidRDefault="007B6FFA" w:rsidP="0073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43"/>
    <w:rsid w:val="00154C66"/>
    <w:rsid w:val="002804BF"/>
    <w:rsid w:val="00281658"/>
    <w:rsid w:val="005B7498"/>
    <w:rsid w:val="005E0A0E"/>
    <w:rsid w:val="00664990"/>
    <w:rsid w:val="0073635C"/>
    <w:rsid w:val="007B45C5"/>
    <w:rsid w:val="007B6FFA"/>
    <w:rsid w:val="008E5BEF"/>
    <w:rsid w:val="00AB7655"/>
    <w:rsid w:val="00C91019"/>
    <w:rsid w:val="00EF7F43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AD288"/>
  <w15:chartTrackingRefBased/>
  <w15:docId w15:val="{076E8FC4-70AD-4AB5-B6E9-6C0DBC54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E5BE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40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E5BEF"/>
    <w:pPr>
      <w:spacing w:after="0" w:line="240" w:lineRule="auto"/>
    </w:pPr>
    <w:rPr>
      <w:rFonts w:ascii="Arial" w:eastAsiaTheme="majorEastAsia" w:hAnsi="Arial" w:cstheme="majorBidi"/>
      <w:b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2816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2DA3-4AD8-4EE7-87AC-A657F1918FA9}"/>
      </w:docPartPr>
      <w:docPartBody>
        <w:p w:rsidR="00CA1AA1" w:rsidRDefault="0069678C">
          <w:r w:rsidRPr="00922FE4">
            <w:rPr>
              <w:rStyle w:val="PlaceholderText"/>
            </w:rPr>
            <w:t>Choose an item.</w:t>
          </w:r>
        </w:p>
      </w:docPartBody>
    </w:docPart>
    <w:docPart>
      <w:docPartPr>
        <w:name w:val="9756F5AFF8104FE5B289E7CE4E23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AF7A-1489-48BA-8BA6-D73F1D63DA95}"/>
      </w:docPartPr>
      <w:docPartBody>
        <w:p w:rsidR="00CA1AA1" w:rsidRDefault="0069678C" w:rsidP="0069678C">
          <w:pPr>
            <w:pStyle w:val="9756F5AFF8104FE5B289E7CE4E2317F6"/>
          </w:pPr>
          <w:r w:rsidRPr="00922F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8C"/>
    <w:rsid w:val="0069678C"/>
    <w:rsid w:val="008B3098"/>
    <w:rsid w:val="00CA1AA1"/>
    <w:rsid w:val="00DA0CD4"/>
    <w:rsid w:val="00E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78C"/>
    <w:rPr>
      <w:color w:val="808080"/>
    </w:rPr>
  </w:style>
  <w:style w:type="paragraph" w:customStyle="1" w:styleId="9756F5AFF8104FE5B289E7CE4E2317F6">
    <w:name w:val="9756F5AFF8104FE5B289E7CE4E2317F6"/>
    <w:rsid w:val="00696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 Георгиев Мутафчийски</dc:creator>
  <cp:keywords/>
  <dc:description/>
  <cp:lastModifiedBy>Мирослав Георгиев Мутафчийски</cp:lastModifiedBy>
  <cp:revision>4</cp:revision>
  <dcterms:created xsi:type="dcterms:W3CDTF">2025-08-05T09:33:00Z</dcterms:created>
  <dcterms:modified xsi:type="dcterms:W3CDTF">2025-08-06T08:29:00Z</dcterms:modified>
</cp:coreProperties>
</file>