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КП № </w:t>
      </w:r>
      <w:r w:rsidRPr="00D70529">
        <w:rPr>
          <w:rFonts w:ascii="Arial" w:eastAsia="Times New Roman" w:hAnsi="Arial" w:cs="Arial"/>
          <w:b/>
          <w:sz w:val="28"/>
          <w:szCs w:val="28"/>
        </w:rPr>
        <w:t xml:space="preserve">71 ДИАГНОСТИКА И ЛЕЧЕНИЕ НА </w:t>
      </w:r>
      <w:r w:rsidRPr="00D70529">
        <w:rPr>
          <w:rFonts w:ascii="Arial" w:eastAsia="Times New Roman" w:hAnsi="Arial" w:cs="Arial"/>
          <w:b/>
          <w:sz w:val="28"/>
          <w:szCs w:val="28"/>
          <w:lang w:val="ru-RU"/>
        </w:rPr>
        <w:t xml:space="preserve"> ЗАБОЛЯВАНИЯ НА ТЪНКОТО И ДЕБЕЛОТО ЧЕРВО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D70529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- 3 дни </w:t>
      </w: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lang w:val="ru-RU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D70529" w:rsidRPr="00D70529" w:rsidTr="00080857">
        <w:trPr>
          <w:jc w:val="center"/>
        </w:trPr>
        <w:tc>
          <w:tcPr>
            <w:tcW w:w="9405" w:type="dxa"/>
          </w:tcPr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Туберкулоза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Туберкулоза на: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червата (дебело)(тънко)† (K93.0*)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ретроперитонеалните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лимфни възли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Туберкулозен: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асцит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ентерит† (К93.0*)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перитонит† (K67.3*)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Иеюнум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Илеум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 (С18.0)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дебелото черво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Илео-цекална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хепатика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лиеналис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Колон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(С19)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С18.8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дебелото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С19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ректосигмоидалната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С20</w:t>
            </w: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на правото черво (ректум)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firstLine="12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Ампула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ректи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Анус, неуточнена локализация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анален(-на):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(С43.5, С44.5)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С21.8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Аноректална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 с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Злокачествено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ректума, ануса и аналния канал, което по място на възникване не може да бъде отнесено към нито една от рубриките С20—С21.2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колона, ректума, ануса и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Цекум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Илеоцекална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клапа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Апендикс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Възходяща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Напречна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трансверзум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Лиенална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Низходяща част (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десценденс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) на колона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Колон, неуточнена част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Аденоматоза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Дебело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Полипоза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(наследствена)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D12.7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Ректосигмоидална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D12.9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Анус и анален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анални: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ръб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TmsCyr" w:eastAsia="Times New Roman" w:hAnsi="TmsCyr" w:cs="Times New Roman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перианална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кожа (D22.5, D23.5)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и неуточнени части на тънките черва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Наследствена фамилна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без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невропатия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Фамилна средиземноморска треска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Наследствена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нефропатия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Вторична системна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хемодиализа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амилоидза</w:t>
            </w:r>
            <w:proofErr w:type="spellEnd"/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I88.0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Неспецифичен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лимфаденит</w:t>
            </w:r>
            <w:proofErr w:type="spellEnd"/>
          </w:p>
          <w:p w:rsidR="00D70529" w:rsidRPr="00D70529" w:rsidRDefault="00D70529" w:rsidP="00D70529">
            <w:pPr>
              <w:tabs>
                <w:tab w:val="left" w:pos="1315"/>
                <w:tab w:val="left" w:pos="2552"/>
              </w:tabs>
              <w:spacing w:after="0" w:line="240" w:lineRule="auto"/>
              <w:ind w:left="1771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лимфаденит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(остър)</w:t>
            </w: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при деца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Други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К52.0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Радиационен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Токсичен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К52.2      Алергичен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алиментарен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и 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уточнени неинфекциозни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гастроентерити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колити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Arial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некротизиращ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ентероколит на плода или новороденото (Р77)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ентероколит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Мезентериална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атеросклероза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съдова недостатъчност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Ангиодисплазия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колона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К55.8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съдови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(Q41—Q42)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исхемична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(K55.1)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мекониум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илеус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(Е84.1)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ab/>
              <w:t>непроходимост на червата при новородено, класифицирана в рубриката Р76.—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 (K31.5)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следоперативна непроходимост на червата (К91.3)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или ректума (К62.4)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 херния (К40—К46)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2573655</wp:posOffset>
                      </wp:positionH>
                      <wp:positionV relativeFrom="paragraph">
                        <wp:posOffset>46355</wp:posOffset>
                      </wp:positionV>
                      <wp:extent cx="108585" cy="394335"/>
                      <wp:effectExtent l="6985" t="10795" r="8255" b="1397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394335"/>
                              </a:xfrm>
                              <a:prstGeom prst="rightBrace">
                                <a:avLst>
                                  <a:gd name="adj1" fmla="val 30263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" o:spid="_x0000_s1026" type="#_x0000_t88" style="position:absolute;margin-left:202.65pt;margin-top:3.65pt;width:8.55pt;height:31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"/>
                  </w:pict>
                </mc:Fallback>
              </mc:AlternateConten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(тънко)(дебело) черво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червата (Q43.8)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апендикса (К38.2)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Meckel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(Q43.0)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К57.1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черво,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дебелото черво без перфорация 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колона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 без перфорация или абсцес (К57.5)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К57.5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тънкото и на дебелото черво без перфорация или абсцес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Дивертикули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тънкото и на дебелото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Синдром на раздразненото черво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18"/>
                <w:szCs w:val="18"/>
                <w:lang w:eastAsia="bg-BG"/>
              </w:rPr>
              <w:t>Включва</w:t>
            </w: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: 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колон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иритабиле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  <w:lang w:eastAsia="bg-BG"/>
              </w:rPr>
              <w:t xml:space="preserve"> 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К58.0 Синдром на раздразненото черво с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289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bg-BG"/>
              </w:rPr>
              <w:t>К58.9 Синдром на раздразненото черво без диария</w:t>
            </w:r>
          </w:p>
          <w:p w:rsidR="00D70529" w:rsidRPr="00D70529" w:rsidRDefault="00D70529" w:rsidP="00D70529">
            <w:pPr>
              <w:autoSpaceDE w:val="0"/>
              <w:autoSpaceDN w:val="0"/>
              <w:adjustRightInd w:val="0"/>
              <w:spacing w:after="0" w:line="240" w:lineRule="auto"/>
              <w:ind w:left="114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Синдром на раздразненото черво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 аналния канал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(К91.4)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незадържане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фекалии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(R15)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хемороиди (I84.—)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ануса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сфинктера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К62.6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ануса и ректума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Язва: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солитарна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фекална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фистула на ануса и ректума (К60.—)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(К51.—)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К62.8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уточнени болести на ануса и ректума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Други болести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фистула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ануса и ректума (К60.—)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апендикса (К38.3)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 (К31.6)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чревногенитална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же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softHyphen/>
              <w:t>ни (N82.2—N82.4)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К63.3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язва (на):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ануса или ректума (К62.6)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дванадесетопръстника (К26.—)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(К28.—)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неуточнена локализаци</w:t>
            </w:r>
            <w:r w:rsidRPr="00D70529">
              <w:rPr>
                <w:rFonts w:ascii="Arial" w:eastAsia="Times New Roman" w:hAnsi="Arial" w:cs="Arial"/>
                <w:spacing w:val="-15"/>
                <w:sz w:val="20"/>
                <w:szCs w:val="20"/>
              </w:rPr>
              <w:t xml:space="preserve">я (К27.—)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улцерозен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колит (K51—)</w:t>
            </w:r>
          </w:p>
          <w:p w:rsidR="00D70529" w:rsidRPr="00D70529" w:rsidRDefault="00D70529" w:rsidP="00D70529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Нарушена резорбция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 дължаща се на хирургична намеса върху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стомашночревния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тракт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К90.0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  <w:t>Цьолиакия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67"/>
              <w:jc w:val="both"/>
              <w:rPr>
                <w:rFonts w:ascii="Arial" w:eastAsia="Times New Roman" w:hAnsi="Arial" w:cs="Arial"/>
                <w:bCs/>
                <w:sz w:val="20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Глутенова</w:t>
            </w:r>
            <w:proofErr w:type="spellEnd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Cs/>
                <w:sz w:val="20"/>
                <w:szCs w:val="20"/>
              </w:rPr>
              <w:t>ентеропатия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К90.2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 на сляпата бримка, некласифициран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БДУ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вроден (Q43.8)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след хирургична намеса (К91.2)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К90.8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нарушения на резорбцията в червата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Whipple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(М14.8*)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Увреждания на храносмилателните органи след медицински процедури,   некласифицирани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D70529" w:rsidRPr="00D70529" w:rsidRDefault="00D70529" w:rsidP="00D70529">
            <w:pPr>
              <w:widowControl w:val="0"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Нарушение на резорбцията след хирургична намеса, некласифицирано 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Синдром на сляпата бримка след хирургична намеса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нарушение на резорбцията: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остеомалация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 възрастни (М83.2)</w:t>
            </w:r>
          </w:p>
          <w:p w:rsidR="00D70529" w:rsidRPr="00D70529" w:rsidRDefault="00D70529" w:rsidP="00D70529">
            <w:pPr>
              <w:widowControl w:val="0"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остеопороза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след хирургични намеси (М81.3)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Дисфункция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след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ентеростомия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343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43" w:hanging="52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Увреждания на други храносмилателни органи при болести, класифицирани 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br/>
              <w:t>другаде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К93.0*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Туберкулозно увреждане на червата, перитонеума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мезентериалните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лимфни възли (А18.3†)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туберкулозен перитонит (К67.3*)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Фистули със засягане на женските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 xml:space="preserve">Не включва: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везикоинтестинална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 (N32.1)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N82.2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тънките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N82.3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между вагината и дебелите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Ректовагинална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фистула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N82.4</w:t>
            </w: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фистули между черва и женски полови органи</w:t>
            </w:r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D70529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Чревноматочна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фистула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КОДОВЕ НА ОСНОВНИ ПРОЦЕДУРИ </w:t>
      </w:r>
      <w:r w:rsidRPr="00D70529">
        <w:rPr>
          <w:rFonts w:ascii="Arial" w:eastAsia="Times New Roman" w:hAnsi="Arial" w:cs="Times New Roman"/>
          <w:b/>
        </w:rPr>
        <w:t xml:space="preserve">ПО </w:t>
      </w:r>
      <w:r w:rsidRPr="00D70529">
        <w:rPr>
          <w:rFonts w:ascii="Arial" w:eastAsia="Times New Roman" w:hAnsi="Arial" w:cs="Times New Roman"/>
          <w:b/>
          <w:highlight w:val="yellow"/>
        </w:rPr>
        <w:t>МКБ-9 КМ/</w:t>
      </w:r>
      <w:r w:rsidRPr="00D70529">
        <w:rPr>
          <w:rFonts w:ascii="Arial" w:eastAsia="Times New Roman" w:hAnsi="Arial" w:cs="Times New Roman"/>
          <w:b/>
        </w:rPr>
        <w:t>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D70529" w:rsidRPr="00D70529" w:rsidTr="00080857">
        <w:trPr>
          <w:jc w:val="center"/>
        </w:trPr>
        <w:tc>
          <w:tcPr>
            <w:tcW w:w="9412" w:type="dxa"/>
          </w:tcPr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45.12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ендоскопия на тънко черво през артифициална стома</w:t>
            </w: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С или без биопсия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тънки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черва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изследване на тънки черва през изкуствена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биопсия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en-US"/>
              </w:rPr>
              <w:t xml:space="preserve"> 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45.22</w:t>
            </w:r>
            <w:r w:rsidRPr="00D70529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колоноскопия</w:t>
            </w:r>
          </w:p>
          <w:p w:rsidR="00D70529" w:rsidRPr="00D70529" w:rsidRDefault="00D70529" w:rsidP="00D70529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D70529" w:rsidRPr="00D70529" w:rsidRDefault="00D70529" w:rsidP="00D70529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color w:val="FBD4B4"/>
                <w:sz w:val="20"/>
                <w:szCs w:val="20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D70529" w:rsidRPr="00D70529" w:rsidRDefault="00D70529" w:rsidP="00D70529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проктосигмоидоскопия през артифициална стома   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такава с биопсия - 48.24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**48.24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D70529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**45.27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интестинална биопсия – аспирационна тънкочревна биопсия    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тънко черво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30075-13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Биопсия на тънко черво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</w:rPr>
              <w:tab/>
              <w:t>Рентгенография на стомашно-чревен тракт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Не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  <w:lang w:val="en-US"/>
              </w:rPr>
              <w:t>включва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0"/>
                <w:lang w:val="en-US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такава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>дуоденум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val="en-US"/>
              </w:rPr>
              <w:t xml:space="preserve"> (58909 [1975])</w:t>
            </w: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**87.64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долна гастроинтестинална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en-US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серия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предварителен общ план 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D70529" w:rsidRPr="00D70529" w:rsidRDefault="00D70529" w:rsidP="00D70529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**87.69  друго ретнгеново изследване на храносмилателния тракт</w:t>
            </w: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**88.19 друго рентгеново изследване на корем</w:t>
            </w: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**88.01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ДИАГНОСТИЧЕН УЛТРАЗВУК (ЕХОГРАФИЯ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)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D70529" w:rsidRPr="00D70529" w:rsidRDefault="00D70529" w:rsidP="00D70529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**88.76 диагностичен ултразвук на корем и ретроперитонеум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55278-00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D70529" w:rsidRPr="00D70529" w:rsidRDefault="00D70529" w:rsidP="00D70529">
            <w:pPr>
              <w:spacing w:after="0" w:line="240" w:lineRule="auto"/>
              <w:ind w:left="170" w:firstLine="31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Магнитно резонансен образ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D70529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D70529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D70529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задължително: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Химично изследване на урина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left="170" w:firstLine="318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Verdana" w:eastAsia="Times New Roman" w:hAnsi="Verdana" w:cs="Arial"/>
                <w:sz w:val="14"/>
                <w:szCs w:val="14"/>
              </w:rPr>
              <w:t xml:space="preserve"> 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Хематологични – ПКК; 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  Клинико-химични - кр. захар, креатинин;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lang w:val="ru-RU"/>
              </w:rPr>
            </w:pP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**90.89 </w:t>
            </w:r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D70529" w:rsidRPr="00D70529" w:rsidRDefault="00D70529" w:rsidP="00D70529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D70529">
              <w:rPr>
                <w:rFonts w:ascii="Arial" w:eastAsia="Times New Roman" w:hAnsi="Arial" w:cs="Arial"/>
                <w:b/>
                <w:color w:val="000000"/>
                <w:sz w:val="14"/>
                <w:szCs w:val="24"/>
                <w:highlight w:val="yellow"/>
                <w:lang w:val="ru-RU"/>
              </w:rPr>
              <w:t>**90.99</w:t>
            </w:r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D70529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ДОЛНИЯ ХРАНОСМИЛАТЕЛЕН ТРАКТ – ОТ ИЛЕУМ ДО АНУС-</w:t>
            </w:r>
            <w:r w:rsidRPr="00D70529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радикална електрокоагулация на ректална лезия или тъкан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варици, хемороиди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*48.33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деструкция на ректална лезия или тъкан с лазер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10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ректални варици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  <w:lang w:val="ru-RU"/>
              </w:rPr>
              <w:t>,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 хемороиди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u w:val="single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ПРОЦЕДУРИ ПРИ ХЕМОРОИДИ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*49.42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в хемороиди  и РЕКТАЛНИ ВАРИЦИ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32132-00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Склеротерапия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хемороиди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13706-02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D70529" w:rsidRPr="00D70529" w:rsidRDefault="00D70529" w:rsidP="00D70529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yellow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D70529" w:rsidRPr="00D70529" w:rsidRDefault="00D70529" w:rsidP="00D70529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D70529" w:rsidRPr="00D70529" w:rsidRDefault="00D70529" w:rsidP="00D70529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D70529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D70529" w:rsidRPr="00D70529" w:rsidRDefault="00D70529" w:rsidP="00D70529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D7052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*99.18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*99.21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9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6197-02      Мускулно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70529" w:rsidRPr="00D70529" w:rsidRDefault="00D70529" w:rsidP="00D70529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*99.25   инжекция или инфузия на  противоракова субстанция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   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D70529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*99.29</w:t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70529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D70529" w:rsidRPr="00D70529" w:rsidRDefault="00D70529" w:rsidP="00D70529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D70529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 xml:space="preserve">С </w:t>
            </w: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този код се кодира лечението с:</w:t>
            </w:r>
          </w:p>
          <w:p w:rsidR="00D70529" w:rsidRPr="00D70529" w:rsidRDefault="00D70529" w:rsidP="00D70529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D70529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Антисекретори – Н2 блокери, инхибитори на протонната помпа (ИПП), кръвоспиращи, кортикостероиди, колхицин и др., противовъзпалителни средства; имуносупресори; месалазин; ензимни препарати; лактулоза; спазмолитици; обезболяващи; лекарства, повлияващи моториката на червата, хепарин; соматостатин по индикации.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70529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70529" w:rsidRPr="00D70529" w:rsidRDefault="00D70529" w:rsidP="00D70529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70529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70529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D70529" w:rsidRPr="00D70529" w:rsidRDefault="00D70529" w:rsidP="00D70529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D70529" w:rsidRPr="00D70529" w:rsidRDefault="00D70529" w:rsidP="00D70529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D70529" w:rsidRPr="00D70529" w:rsidRDefault="00D70529" w:rsidP="00D70529">
            <w:pPr>
              <w:widowControl w:val="0"/>
              <w:tabs>
                <w:tab w:val="left" w:pos="7"/>
              </w:tabs>
              <w:spacing w:after="0" w:line="240" w:lineRule="auto"/>
              <w:ind w:left="7"/>
              <w:jc w:val="both"/>
              <w:rPr>
                <w:rFonts w:ascii="Times New Roman" w:eastAsia="Times New Roman" w:hAnsi="Times New Roman" w:cs="Times New Roman"/>
                <w:noProof/>
                <w:sz w:val="14"/>
                <w:szCs w:val="14"/>
              </w:rPr>
            </w:pPr>
          </w:p>
        </w:tc>
      </w:tr>
    </w:tbl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b/>
          <w:szCs w:val="24"/>
        </w:rPr>
        <w:lastRenderedPageBreak/>
        <w:t>Изискване:</w:t>
      </w:r>
      <w:r w:rsidRPr="00D70529">
        <w:rPr>
          <w:rFonts w:ascii="Arial" w:eastAsia="Times New Roman" w:hAnsi="Arial" w:cs="Times New Roman"/>
          <w:szCs w:val="24"/>
        </w:rPr>
        <w:t xml:space="preserve"> Клиничната пътека се счита за завършена, ако са приложени и отчетени </w:t>
      </w:r>
      <w:r w:rsidRPr="00D70529">
        <w:rPr>
          <w:rFonts w:ascii="Arial" w:eastAsia="Times New Roman" w:hAnsi="Arial" w:cs="Times New Roman"/>
          <w:szCs w:val="20"/>
        </w:rPr>
        <w:t xml:space="preserve">минимум пет </w:t>
      </w:r>
      <w:r w:rsidRPr="00D70529">
        <w:rPr>
          <w:rFonts w:ascii="Arial" w:eastAsia="Times New Roman" w:hAnsi="Arial" w:cs="Times New Roman"/>
          <w:szCs w:val="24"/>
        </w:rPr>
        <w:t xml:space="preserve">основни диагностични процедури с кодове: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Cs/>
          <w:color w:val="000000"/>
          <w:szCs w:val="24"/>
        </w:rPr>
      </w:pPr>
      <w:r w:rsidRPr="00D70529">
        <w:rPr>
          <w:rFonts w:ascii="Arial" w:eastAsia="Times New Roman" w:hAnsi="Arial" w:cs="Arial"/>
          <w:lang w:val="ru-RU"/>
        </w:rPr>
        <w:t xml:space="preserve">- </w:t>
      </w:r>
      <w:r w:rsidRPr="00D70529">
        <w:rPr>
          <w:rFonts w:ascii="Arial" w:eastAsia="Times New Roman" w:hAnsi="Arial" w:cs="Arial"/>
          <w:highlight w:val="yellow"/>
          <w:lang w:val="ru-RU"/>
        </w:rPr>
        <w:t>**89.29</w:t>
      </w:r>
      <w:r w:rsidRPr="00D70529">
        <w:rPr>
          <w:rFonts w:ascii="Arial" w:eastAsia="Times New Roman" w:hAnsi="Arial" w:cs="Arial"/>
          <w:lang w:val="ru-RU"/>
        </w:rPr>
        <w:t>,</w:t>
      </w:r>
      <w:r w:rsidRPr="00D70529">
        <w:rPr>
          <w:rFonts w:ascii="Arial" w:eastAsia="Times New Roman" w:hAnsi="Arial" w:cs="Arial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**89.52</w:t>
      </w:r>
      <w:r w:rsidRPr="00D70529">
        <w:rPr>
          <w:rFonts w:ascii="Arial" w:eastAsia="Times New Roman" w:hAnsi="Arial" w:cs="Arial"/>
        </w:rPr>
        <w:t xml:space="preserve">/11700-00, </w:t>
      </w:r>
      <w:r w:rsidRPr="00D70529">
        <w:rPr>
          <w:rFonts w:ascii="Arial" w:eastAsia="Times New Roman" w:hAnsi="Arial" w:cs="Arial"/>
          <w:highlight w:val="yellow"/>
        </w:rPr>
        <w:t>**90.59,</w:t>
      </w:r>
      <w:r w:rsidRPr="00D70529">
        <w:rPr>
          <w:rFonts w:ascii="Arial" w:eastAsia="Times New Roman" w:hAnsi="Arial" w:cs="Arial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  <w:highlight w:val="yellow"/>
        </w:rPr>
        <w:t>-</w:t>
      </w:r>
      <w:r w:rsidR="004630C1">
        <w:rPr>
          <w:rFonts w:ascii="Arial" w:eastAsia="Times New Roman" w:hAnsi="Arial" w:cs="Times New Roman"/>
          <w:szCs w:val="24"/>
          <w:highlight w:val="yellow"/>
        </w:rPr>
        <w:t xml:space="preserve"> *</w:t>
      </w:r>
      <w:r w:rsidRPr="00D70529">
        <w:rPr>
          <w:rFonts w:ascii="Arial" w:eastAsia="Times New Roman" w:hAnsi="Arial" w:cs="Times New Roman"/>
          <w:szCs w:val="24"/>
          <w:highlight w:val="yellow"/>
        </w:rPr>
        <w:t>*88.76</w:t>
      </w:r>
      <w:r w:rsidRPr="00D70529">
        <w:rPr>
          <w:rFonts w:ascii="Arial" w:eastAsia="Times New Roman" w:hAnsi="Arial" w:cs="Times New Roman"/>
          <w:szCs w:val="24"/>
        </w:rPr>
        <w:t xml:space="preserve">/55036-00/55276-00/55278-00;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4"/>
        </w:rPr>
        <w:t>/30668-00/55601-00</w:t>
      </w:r>
      <w:r w:rsidRPr="00D70529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или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рентгенологична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процедура;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  <w:lang w:val="en-US"/>
        </w:rPr>
      </w:pPr>
      <w:r w:rsidRPr="00D70529">
        <w:rPr>
          <w:rFonts w:ascii="Arial" w:eastAsia="Times New Roman" w:hAnsi="Arial" w:cs="Times New Roman"/>
          <w:szCs w:val="24"/>
        </w:rPr>
        <w:t xml:space="preserve">и една терапевтични процедура.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4"/>
        </w:rPr>
        <w:t xml:space="preserve">Процедура с код </w:t>
      </w:r>
      <w:r w:rsidRPr="00D70529">
        <w:rPr>
          <w:rFonts w:ascii="Arial" w:eastAsia="Times New Roman" w:hAnsi="Arial" w:cs="Times New Roman"/>
          <w:szCs w:val="24"/>
          <w:highlight w:val="yellow"/>
        </w:rPr>
        <w:t>**90.89</w:t>
      </w:r>
      <w:r w:rsidRPr="00D70529">
        <w:rPr>
          <w:rFonts w:ascii="Arial" w:eastAsia="Times New Roman" w:hAnsi="Arial" w:cs="Times New Roman"/>
          <w:szCs w:val="24"/>
        </w:rPr>
        <w:t xml:space="preserve"> или </w:t>
      </w:r>
      <w:r w:rsidRPr="00D70529">
        <w:rPr>
          <w:rFonts w:ascii="Arial" w:eastAsia="Times New Roman" w:hAnsi="Arial" w:cs="Times New Roman"/>
          <w:szCs w:val="24"/>
          <w:highlight w:val="yellow"/>
        </w:rPr>
        <w:t>**90.</w:t>
      </w:r>
      <w:r w:rsidRPr="00D70529">
        <w:rPr>
          <w:rFonts w:ascii="Arial" w:eastAsia="Times New Roman" w:hAnsi="Arial" w:cs="Times New Roman"/>
          <w:szCs w:val="24"/>
          <w:highlight w:val="yellow"/>
          <w:lang w:val="ru-RU"/>
        </w:rPr>
        <w:t>9</w:t>
      </w:r>
      <w:r w:rsidRPr="00D70529">
        <w:rPr>
          <w:rFonts w:ascii="Arial" w:eastAsia="Times New Roman" w:hAnsi="Arial" w:cs="Times New Roman"/>
          <w:szCs w:val="24"/>
          <w:highlight w:val="yellow"/>
        </w:rPr>
        <w:t>9</w:t>
      </w:r>
      <w:r w:rsidRPr="00D70529">
        <w:rPr>
          <w:rFonts w:ascii="Arial" w:eastAsia="Times New Roman" w:hAnsi="Arial" w:cs="Times New Roman"/>
          <w:szCs w:val="24"/>
        </w:rPr>
        <w:t xml:space="preserve"> задължително се отчита допълнително,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епикризата</w:t>
      </w:r>
      <w:proofErr w:type="spellEnd"/>
      <w:r w:rsidRPr="00D70529">
        <w:rPr>
          <w:rFonts w:ascii="Arial" w:eastAsia="Times New Roman" w:hAnsi="Arial" w:cs="Times New Roman"/>
          <w:szCs w:val="24"/>
        </w:rPr>
        <w:t>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4"/>
        </w:rPr>
        <w:t xml:space="preserve">1. При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контраиндикации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или невъзможност за извършване на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процедура в пълен обем поради 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стеноза</w:t>
      </w:r>
      <w:proofErr w:type="spellEnd"/>
      <w:r w:rsidRPr="00D70529">
        <w:rPr>
          <w:rFonts w:ascii="Arial" w:eastAsia="Times New Roman" w:hAnsi="Arial" w:cs="Times New Roman"/>
          <w:szCs w:val="24"/>
        </w:rPr>
        <w:t>/</w:t>
      </w:r>
      <w:proofErr w:type="spellStart"/>
      <w:r w:rsidRPr="00D70529">
        <w:rPr>
          <w:rFonts w:ascii="Arial" w:eastAsia="Times New Roman" w:hAnsi="Arial" w:cs="Times New Roman"/>
          <w:szCs w:val="24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, фистула на стомах 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4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D70529" w:rsidRPr="00D70529" w:rsidRDefault="00D70529" w:rsidP="00D70529">
      <w:pPr>
        <w:spacing w:after="0" w:line="240" w:lineRule="auto"/>
        <w:ind w:firstLine="567"/>
        <w:rPr>
          <w:rFonts w:ascii="Arial" w:eastAsia="Times New Roman" w:hAnsi="Arial" w:cs="Arial"/>
          <w:b/>
          <w:lang w:val="en-GB"/>
        </w:rPr>
      </w:pPr>
      <w:r w:rsidRPr="00D70529">
        <w:rPr>
          <w:rFonts w:ascii="Arial" w:eastAsia="Times New Roman" w:hAnsi="Arial" w:cs="Arial"/>
          <w:noProof/>
          <w:snapToGrid w:val="0"/>
        </w:rPr>
        <w:t>2. Терапевтичните процедури: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*99.21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</w:rPr>
        <w:t>96197-02;</w:t>
      </w:r>
      <w:r w:rsidRPr="00D70529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D70529">
        <w:rPr>
          <w:rFonts w:ascii="Arial" w:eastAsia="Times New Roman" w:hAnsi="Arial" w:cs="Arial"/>
          <w:highlight w:val="yellow"/>
        </w:rPr>
        <w:t>*99.22</w:t>
      </w:r>
      <w:r w:rsidRPr="00D70529">
        <w:rPr>
          <w:rFonts w:ascii="Arial" w:eastAsia="Times New Roman" w:hAnsi="Arial" w:cs="Arial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D70529">
        <w:rPr>
          <w:rFonts w:ascii="Arial" w:eastAsia="Times New Roman" w:hAnsi="Arial" w:cs="Arial"/>
          <w:noProof/>
          <w:snapToGrid w:val="0"/>
        </w:rPr>
        <w:t>и</w:t>
      </w:r>
      <w:r w:rsidRPr="00D70529">
        <w:rPr>
          <w:rFonts w:ascii="Arial" w:eastAsia="Times New Roman" w:hAnsi="Arial" w:cs="Arial"/>
          <w:highlight w:val="yellow"/>
        </w:rPr>
        <w:t xml:space="preserve"> *99.29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D70529">
        <w:rPr>
          <w:rFonts w:ascii="Arial" w:eastAsia="Times New Roman" w:hAnsi="Arial" w:cs="Arial"/>
          <w:noProof/>
          <w:snapToGrid w:val="0"/>
        </w:rPr>
        <w:t>/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D70529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D70529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  <w:szCs w:val="2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3. При лица до 18 годишна възраст </w:t>
      </w:r>
      <w:r w:rsidRPr="00D70529">
        <w:rPr>
          <w:rFonts w:ascii="Arial" w:eastAsia="Times New Roman" w:hAnsi="Arial" w:cs="Times New Roman"/>
          <w:szCs w:val="24"/>
        </w:rPr>
        <w:t>клиничната пътека се счита за завършена, ако са приложени и отчетени</w:t>
      </w:r>
      <w:r w:rsidRPr="00D70529">
        <w:rPr>
          <w:rFonts w:ascii="Arial" w:eastAsia="Times New Roman" w:hAnsi="Arial" w:cs="Times New Roman"/>
          <w:snapToGrid w:val="0"/>
          <w:szCs w:val="20"/>
        </w:rPr>
        <w:t xml:space="preserve"> три диагностични процедури и една терапевтична процедура.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napToGrid w:val="0"/>
        </w:rPr>
      </w:pPr>
      <w:r w:rsidRPr="00D70529">
        <w:rPr>
          <w:rFonts w:ascii="Arial" w:eastAsia="Times New Roman" w:hAnsi="Arial" w:cs="Times New Roman"/>
          <w:snapToGrid w:val="0"/>
          <w:szCs w:val="20"/>
        </w:rPr>
        <w:t xml:space="preserve">4. Диагноза с код </w:t>
      </w:r>
      <w:r w:rsidRPr="00D70529">
        <w:rPr>
          <w:rFonts w:ascii="Arial" w:eastAsia="Times New Roman" w:hAnsi="Arial" w:cs="Arial"/>
          <w:b/>
        </w:rPr>
        <w:t xml:space="preserve">К 52.2 </w:t>
      </w:r>
      <w:r w:rsidRPr="00D70529">
        <w:rPr>
          <w:rFonts w:ascii="Arial" w:eastAsia="Times New Roman" w:hAnsi="Arial" w:cs="Arial"/>
        </w:rPr>
        <w:t xml:space="preserve">„Алергичен и </w:t>
      </w:r>
      <w:proofErr w:type="spellStart"/>
      <w:r w:rsidRPr="00D70529">
        <w:rPr>
          <w:rFonts w:ascii="Arial" w:eastAsia="Times New Roman" w:hAnsi="Arial" w:cs="Arial"/>
        </w:rPr>
        <w:t>алиментарен</w:t>
      </w:r>
      <w:proofErr w:type="spellEnd"/>
      <w:r w:rsidRPr="00D70529">
        <w:rPr>
          <w:rFonts w:ascii="Arial" w:eastAsia="Times New Roman" w:hAnsi="Arial" w:cs="Arial"/>
        </w:rPr>
        <w:t xml:space="preserve"> </w:t>
      </w:r>
      <w:proofErr w:type="spellStart"/>
      <w:r w:rsidRPr="00D70529">
        <w:rPr>
          <w:rFonts w:ascii="Arial" w:eastAsia="Times New Roman" w:hAnsi="Arial" w:cs="Arial"/>
        </w:rPr>
        <w:t>гастроентерит</w:t>
      </w:r>
      <w:proofErr w:type="spellEnd"/>
      <w:r w:rsidRPr="00D70529">
        <w:rPr>
          <w:rFonts w:ascii="Arial" w:eastAsia="Times New Roman" w:hAnsi="Arial" w:cs="Arial"/>
        </w:rPr>
        <w:t xml:space="preserve"> и колит” може да се отчита само при лица до 2  години.</w:t>
      </w:r>
    </w:p>
    <w:p w:rsidR="00D70529" w:rsidRPr="00D70529" w:rsidRDefault="00D70529" w:rsidP="00D70529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Times New Roman"/>
          <w:szCs w:val="24"/>
        </w:rPr>
      </w:pPr>
      <w:r w:rsidRPr="00D70529">
        <w:rPr>
          <w:rFonts w:ascii="Arial" w:eastAsia="Times New Roman" w:hAnsi="Arial" w:cs="Times New Roman"/>
          <w:szCs w:val="20"/>
        </w:rPr>
        <w:t>Клиничната пътека се счита за завършена,</w:t>
      </w:r>
      <w:r w:rsidRPr="00D70529">
        <w:rPr>
          <w:rFonts w:ascii="All Times New Roman" w:eastAsia="Times New Roman" w:hAnsi="All Times New Roman" w:cs="All 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4"/>
        </w:rPr>
        <w:t xml:space="preserve">ако са приложени </w:t>
      </w:r>
      <w:proofErr w:type="spellStart"/>
      <w:r w:rsidRPr="00D70529">
        <w:rPr>
          <w:rFonts w:ascii="Arial" w:eastAsia="Times New Roman" w:hAnsi="Arial" w:cs="Times New Roman"/>
          <w:szCs w:val="24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</w:t>
      </w:r>
      <w:r w:rsidRPr="00D70529">
        <w:rPr>
          <w:rFonts w:ascii="Arial" w:eastAsia="Times New Roman" w:hAnsi="Arial" w:cs="Times New Roman"/>
          <w:szCs w:val="20"/>
        </w:rPr>
        <w:t>,</w:t>
      </w:r>
      <w:r w:rsidRPr="00D70529">
        <w:rPr>
          <w:rFonts w:ascii="Arial" w:eastAsia="Times New Roman" w:hAnsi="Arial" w:cs="Times New Roman"/>
          <w:szCs w:val="24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4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4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D70529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D70529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вида на изследването;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</w:t>
      </w:r>
      <w:r w:rsidRPr="00D70529">
        <w:rPr>
          <w:rFonts w:ascii="Arial" w:eastAsia="Times New Roman" w:hAnsi="Arial" w:cs="Times New Roman"/>
          <w:szCs w:val="20"/>
        </w:rPr>
        <w:lastRenderedPageBreak/>
        <w:t>резултата от проведеното образно изследване, а самите снимки от него се предоставят на пациента срещу подпис в ИЗ.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D70529">
        <w:rPr>
          <w:rFonts w:ascii="Arial" w:eastAsia="Times New Roman" w:hAnsi="Arial" w:cs="Times New Roman"/>
          <w:b/>
          <w:szCs w:val="24"/>
        </w:rPr>
        <w:br w:type="page"/>
      </w:r>
      <w:r w:rsidRPr="00D70529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D70529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color w:val="000000"/>
        </w:rPr>
      </w:pPr>
      <w:proofErr w:type="gramStart"/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D70529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D70529" w:rsidRPr="00D70529" w:rsidRDefault="00D70529" w:rsidP="00D70529">
      <w:pPr>
        <w:spacing w:after="0" w:line="240" w:lineRule="auto"/>
        <w:ind w:firstLine="720"/>
        <w:jc w:val="both"/>
        <w:rPr>
          <w:rFonts w:ascii="Arial" w:eastAsia="Times New Roman" w:hAnsi="Arial" w:cs="Arial"/>
          <w:b/>
          <w:noProof/>
          <w:color w:val="00000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D70529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D70529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D70529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D70529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D70529" w:rsidRPr="00D70529" w:rsidTr="00080857">
        <w:trPr>
          <w:jc w:val="center"/>
        </w:trPr>
        <w:tc>
          <w:tcPr>
            <w:tcW w:w="8294" w:type="dxa"/>
          </w:tcPr>
          <w:p w:rsidR="00D70529" w:rsidRPr="00D70529" w:rsidRDefault="00D70529" w:rsidP="00D70529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D70529" w:rsidRPr="00D70529" w:rsidRDefault="00D70529" w:rsidP="00D70529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ind w:left="284" w:hanging="284"/>
              <w:rPr>
                <w:rFonts w:ascii="Arial" w:eastAsia="Times New Roman" w:hAnsi="Arial" w:cs="Arial"/>
                <w:sz w:val="20"/>
                <w:szCs w:val="20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D70529" w:rsidRPr="00D70529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529" w:rsidRPr="00D70529" w:rsidRDefault="00D70529" w:rsidP="00D70529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D70529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D70529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D70529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D70529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70529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D70529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261" w:type="dxa"/>
        <w:jc w:val="center"/>
        <w:tblInd w:w="-6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61"/>
      </w:tblGrid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spacing w:after="0" w:line="240" w:lineRule="auto"/>
              <w:ind w:left="154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D70529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numPr>
                <w:ilvl w:val="0"/>
                <w:numId w:val="3"/>
              </w:numPr>
              <w:tabs>
                <w:tab w:val="left" w:pos="114"/>
              </w:tabs>
              <w:spacing w:after="0" w:line="240" w:lineRule="auto"/>
              <w:ind w:left="154" w:hanging="182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D70529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D70529" w:rsidRPr="00D70529" w:rsidTr="00080857">
        <w:trPr>
          <w:jc w:val="center"/>
        </w:trPr>
        <w:tc>
          <w:tcPr>
            <w:tcW w:w="8261" w:type="dxa"/>
          </w:tcPr>
          <w:p w:rsidR="00D70529" w:rsidRPr="00D70529" w:rsidRDefault="00D70529" w:rsidP="00D70529">
            <w:pPr>
              <w:widowControl w:val="0"/>
              <w:tabs>
                <w:tab w:val="left" w:pos="114"/>
                <w:tab w:val="left" w:pos="235"/>
              </w:tabs>
              <w:spacing w:after="0" w:line="240" w:lineRule="auto"/>
              <w:ind w:left="720" w:hanging="720"/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</w:pPr>
            <w:r w:rsidRPr="00D70529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D70529">
              <w:rPr>
                <w:rFonts w:ascii="Arial" w:eastAsia="Times New Roman" w:hAnsi="Arial" w:cs="Arial"/>
                <w:color w:val="000000"/>
                <w:sz w:val="20"/>
                <w:szCs w:val="24"/>
                <w:lang w:val="ru-RU"/>
              </w:rPr>
              <w:t xml:space="preserve"> лаборатория</w:t>
            </w:r>
          </w:p>
        </w:tc>
      </w:tr>
    </w:tbl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D70529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D70529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D70529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лекари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със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специалност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по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 xml:space="preserve"> – минимум </w:t>
      </w:r>
      <w:proofErr w:type="spellStart"/>
      <w:r w:rsidRPr="00D70529">
        <w:rPr>
          <w:rFonts w:ascii="Arial" w:eastAsia="Times New Roman" w:hAnsi="Arial" w:cs="Times New Roman"/>
          <w:szCs w:val="20"/>
          <w:lang w:val="ru-RU"/>
        </w:rPr>
        <w:t>двама</w:t>
      </w:r>
      <w:proofErr w:type="spellEnd"/>
      <w:r w:rsidRPr="00D70529">
        <w:rPr>
          <w:rFonts w:ascii="Arial" w:eastAsia="Times New Roman" w:hAnsi="Arial" w:cs="Times New Roman"/>
          <w:szCs w:val="20"/>
          <w:lang w:val="ru-RU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lastRenderedPageBreak/>
        <w:t xml:space="preserve">- </w:t>
      </w:r>
      <w:r w:rsidRPr="00D7052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D70529">
        <w:rPr>
          <w:rFonts w:ascii="Arial" w:eastAsia="Times New Roman" w:hAnsi="Arial" w:cs="Times New Roman"/>
          <w:szCs w:val="20"/>
        </w:rPr>
        <w:t>по</w:t>
      </w:r>
      <w:proofErr w:type="gram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D7052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D7052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rPr>
          <w:rFonts w:ascii="Arial" w:eastAsia="Times New Roman" w:hAnsi="Arial" w:cs="Arial"/>
          <w:sz w:val="2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ab/>
        <w:t xml:space="preserve">При необходимост от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ехография, специалистът трябва да притежава сертификат по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трето ниво - само за отчитане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(</w:t>
      </w:r>
      <w:r w:rsidRPr="00D70529">
        <w:rPr>
          <w:rFonts w:ascii="Arial" w:eastAsia="Times New Roman" w:hAnsi="Arial" w:cs="Times New Roman"/>
          <w:szCs w:val="20"/>
          <w:highlight w:val="yellow"/>
        </w:rPr>
        <w:t>**88.74</w:t>
      </w:r>
      <w:r w:rsidRPr="00D70529">
        <w:rPr>
          <w:rFonts w:ascii="Arial" w:eastAsia="Times New Roman" w:hAnsi="Arial" w:cs="Times New Roman"/>
          <w:szCs w:val="20"/>
        </w:rPr>
        <w:t>/</w:t>
      </w:r>
      <w:r w:rsidRPr="004630C1">
        <w:rPr>
          <w:rFonts w:ascii="Arial" w:eastAsia="Times New Roman" w:hAnsi="Arial" w:cs="Times New Roman"/>
          <w:szCs w:val="20"/>
        </w:rPr>
        <w:t>55601-00/30668-00)</w:t>
      </w:r>
      <w:r w:rsidRPr="00D70529">
        <w:rPr>
          <w:rFonts w:ascii="Arial" w:eastAsia="Times New Roman" w:hAnsi="Arial" w:cs="Arial"/>
          <w:sz w:val="20"/>
          <w:szCs w:val="20"/>
        </w:rPr>
        <w:tab/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D70529">
        <w:rPr>
          <w:rFonts w:ascii="Arial" w:eastAsia="Times New Roman" w:hAnsi="Arial" w:cs="Arial"/>
          <w:color w:val="000000"/>
        </w:rPr>
        <w:t xml:space="preserve">Не е задължително  структурата по </w:t>
      </w:r>
      <w:proofErr w:type="spellStart"/>
      <w:r w:rsidRPr="00D70529">
        <w:rPr>
          <w:rFonts w:ascii="Arial" w:eastAsia="Times New Roman" w:hAnsi="Arial" w:cs="Arial"/>
          <w:color w:val="000000"/>
        </w:rPr>
        <w:t>гастроентерология</w:t>
      </w:r>
      <w:proofErr w:type="spellEnd"/>
      <w:r w:rsidRPr="00D70529">
        <w:rPr>
          <w:rFonts w:ascii="Arial" w:eastAsia="Times New Roman" w:hAnsi="Arial" w:cs="Arial"/>
          <w:color w:val="000000"/>
        </w:rPr>
        <w:t xml:space="preserve"> да има такъв специалист, за да сключи договор по тази КП.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</w:t>
      </w:r>
    </w:p>
    <w:p w:rsidR="00D70529" w:rsidRPr="00D70529" w:rsidRDefault="00D70529" w:rsidP="00D70529">
      <w:pPr>
        <w:spacing w:after="0" w:line="240" w:lineRule="auto"/>
        <w:ind w:firstLine="426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или</w:t>
      </w:r>
    </w:p>
    <w:p w:rsidR="00D70529" w:rsidRPr="00D70529" w:rsidRDefault="00D70529" w:rsidP="00D70529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  <w:lang w:val="en-US"/>
        </w:rPr>
      </w:pPr>
      <w:r w:rsidRPr="00D70529">
        <w:rPr>
          <w:rFonts w:ascii="Arial" w:eastAsia="Times New Roman" w:hAnsi="Arial" w:cs="Times New Roman"/>
          <w:szCs w:val="20"/>
        </w:rPr>
        <w:t>лекар</w:t>
      </w:r>
      <w:r w:rsidRPr="00D70529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специалност по детска хирургия – минимум двама, единият от които може да е със специалност по обща хирургия;</w:t>
      </w:r>
    </w:p>
    <w:p w:rsidR="00D70529" w:rsidRPr="00D70529" w:rsidRDefault="00D70529" w:rsidP="00D70529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 xml:space="preserve"> -</w:t>
      </w:r>
      <w:r w:rsidRPr="00D70529">
        <w:rPr>
          <w:rFonts w:ascii="Arial" w:eastAsia="Times New Roman" w:hAnsi="Arial" w:cs="Times New Roman"/>
          <w:szCs w:val="20"/>
        </w:rPr>
        <w:tab/>
        <w:t xml:space="preserve"> лекар със специалност по клинична лаборатория;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D70529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D70529">
        <w:rPr>
          <w:rFonts w:ascii="Arial" w:eastAsia="Times New Roman" w:hAnsi="Arial" w:cs="Times New Roman"/>
          <w:szCs w:val="20"/>
        </w:rPr>
        <w:t>по</w:t>
      </w:r>
      <w:proofErr w:type="gramEnd"/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D70529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D70529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</w:rPr>
      </w:pPr>
      <w:r w:rsidRPr="00D70529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D70529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D70529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D70529">
        <w:rPr>
          <w:rFonts w:ascii="Arial" w:eastAsia="Times New Roman" w:hAnsi="Arial" w:cs="Times New Roman"/>
          <w:szCs w:val="20"/>
        </w:rPr>
        <w:t>При анамнеза от страна</w:t>
      </w:r>
      <w:r w:rsidRPr="00D70529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284"/>
        <w:jc w:val="both"/>
        <w:rPr>
          <w:rFonts w:ascii="Arial" w:eastAsia="Times New Roman" w:hAnsi="Arial" w:cs="Arial"/>
          <w:b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70529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70529" w:rsidRPr="00D70529" w:rsidRDefault="00D70529" w:rsidP="00D70529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70529" w:rsidRPr="00D70529" w:rsidRDefault="00D70529" w:rsidP="00D70529">
      <w:pPr>
        <w:numPr>
          <w:ilvl w:val="0"/>
          <w:numId w:val="4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D70529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усложнено заболяване на долния ГИТ, съпроводено с "алармиращи" симптоми и с едно или повече от следните отклонения: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К, </w:t>
      </w:r>
      <w:proofErr w:type="spellStart"/>
      <w:r w:rsidRPr="00D70529">
        <w:rPr>
          <w:rFonts w:ascii="Arial" w:eastAsia="Times New Roman" w:hAnsi="Arial" w:cs="Times New Roman"/>
          <w:szCs w:val="20"/>
        </w:rPr>
        <w:t>Ca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Mg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повишен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>, анемичен синдром или резултати от образни изследвания, насочващи към заболяване на долния ГИТ;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и клинично и/или инструментално доказани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заболявания на долния ГИТ в детската възраст;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при заболявания на долния ГИТ.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онкологично заболяване на долния гастроинтестинален тракт при клинични,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, лабораторни и други данни, когато тази диагностика не може да бъде извършена в амбулаторни условия.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</w:rPr>
        <w:lastRenderedPageBreak/>
        <w:t>Диагностично уточняване и определяне на терапевтично</w:t>
      </w:r>
      <w:r w:rsidRPr="00D70529">
        <w:rPr>
          <w:rFonts w:ascii="Arial" w:eastAsia="Times New Roman" w:hAnsi="Arial" w:cs="Times New Roman"/>
          <w:szCs w:val="20"/>
        </w:rPr>
        <w:t xml:space="preserve"> поведение на пациенти, провеждащи амбулаторно лечение за заболяване на долния ГИТ, без добър терапевтичен ефект по искане на лекаря, провеждащ лечението в специализираната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помощ.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D70529">
        <w:rPr>
          <w:rFonts w:ascii="Arial" w:eastAsia="Times New Roman" w:hAnsi="Arial" w:cs="Times New Roman"/>
          <w:b/>
          <w:noProof/>
        </w:rPr>
        <w:t>ЗАДЪЛЖИТЕЛЕН</w:t>
      </w:r>
      <w:r w:rsidRPr="00D70529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се извършва  до 48 час от постъпването. В случаи на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КТ или МРТ се извършват до края на болничния престой. Контролни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</w:t>
      </w:r>
      <w:r w:rsidRPr="00D70529">
        <w:rPr>
          <w:rFonts w:ascii="Arial" w:eastAsia="Times New Roman" w:hAnsi="Arial" w:cs="Times New Roman"/>
        </w:rPr>
        <w:t>на патологично променените показатели се извършват по преценка</w:t>
      </w:r>
      <w:r w:rsidRPr="00D70529">
        <w:rPr>
          <w:rFonts w:ascii="Arial" w:eastAsia="Times New Roman" w:hAnsi="Arial" w:cs="Times New Roman"/>
          <w:color w:val="FF0000"/>
        </w:rPr>
        <w:t xml:space="preserve"> </w:t>
      </w:r>
      <w:r w:rsidRPr="00D70529">
        <w:rPr>
          <w:rFonts w:ascii="Arial" w:eastAsia="Times New Roman" w:hAnsi="Arial" w:cs="Times New Roman"/>
        </w:rPr>
        <w:t>до края на хоспитализацията.</w:t>
      </w:r>
      <w:r w:rsidRPr="00D70529">
        <w:rPr>
          <w:rFonts w:ascii="Arial" w:eastAsia="Times New Roman" w:hAnsi="Arial" w:cs="Times New Roman"/>
          <w:color w:val="FF0000"/>
          <w:szCs w:val="20"/>
        </w:rPr>
        <w:t xml:space="preserve">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заболявания на червото се извършват следните основни диагностични процедури: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1.</w:t>
      </w:r>
      <w:proofErr w:type="spellStart"/>
      <w:r w:rsidRPr="00D70529">
        <w:rPr>
          <w:rFonts w:ascii="Arial" w:eastAsia="Times New Roman" w:hAnsi="Arial" w:cs="Times New Roman"/>
          <w:szCs w:val="20"/>
        </w:rPr>
        <w:t>1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  <w:r w:rsidRPr="00D70529">
        <w:rPr>
          <w:rFonts w:ascii="Arial" w:eastAsia="Times New Roman" w:hAnsi="Arial" w:cs="Times New Roman"/>
          <w:b/>
          <w:szCs w:val="20"/>
        </w:rPr>
        <w:t xml:space="preserve"> Задължителни: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- хематология – ПКК, включваща хемоглобин, еритроцити, левкоцити, </w:t>
      </w:r>
      <w:proofErr w:type="spellStart"/>
      <w:r w:rsidRPr="00D70529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Hct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клетки, СУЕ;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</w:rPr>
        <w:t xml:space="preserve"> - кръвна захар, </w:t>
      </w:r>
      <w:proofErr w:type="spellStart"/>
      <w:r w:rsidRPr="00D70529">
        <w:rPr>
          <w:rFonts w:ascii="Arial" w:eastAsia="Times New Roman" w:hAnsi="Arial" w:cs="Times New Roman"/>
        </w:rPr>
        <w:t>креатинин</w:t>
      </w:r>
      <w:proofErr w:type="spellEnd"/>
      <w:r w:rsidRPr="00D70529">
        <w:rPr>
          <w:rFonts w:ascii="Arial" w:eastAsia="Times New Roman" w:hAnsi="Arial" w:cs="Times New Roman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D70529" w:rsidRPr="00D70529" w:rsidRDefault="00D70529" w:rsidP="00D70529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>1.2.</w:t>
      </w:r>
      <w:r w:rsidRPr="00D70529">
        <w:rPr>
          <w:rFonts w:ascii="Arial" w:eastAsia="Times New Roman" w:hAnsi="Arial" w:cs="Times New Roman"/>
          <w:b/>
          <w:bCs/>
          <w:szCs w:val="20"/>
        </w:rPr>
        <w:t xml:space="preserve"> Според съответните заболявания 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клинико-химични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- общ белтък, албумин,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урея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сер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желязо, ЖСК, АСАТ, АЛАТ, ГГТ, АФ, ЛДХ; </w:t>
      </w:r>
      <w:proofErr w:type="spellStart"/>
      <w:r w:rsidRPr="00D70529">
        <w:rPr>
          <w:rFonts w:ascii="Arial" w:eastAsia="Times New Roman" w:hAnsi="Arial" w:cs="Times New Roman"/>
          <w:szCs w:val="20"/>
        </w:rPr>
        <w:t>Na</w:t>
      </w:r>
      <w:proofErr w:type="spellEnd"/>
      <w:r w:rsidRPr="00D70529">
        <w:rPr>
          <w:rFonts w:ascii="Arial" w:eastAsia="Times New Roman" w:hAnsi="Arial" w:cs="Times New Roman"/>
          <w:szCs w:val="20"/>
        </w:rPr>
        <w:t>, K, Cl, АКР, С-реактивен протеин, туморни маркери (СЕА, СА 19-9, CA-72-4 и др.);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color w:val="FF0000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хемокоагулационни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- </w:t>
      </w:r>
      <w:proofErr w:type="spellStart"/>
      <w:r w:rsidRPr="00D70529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време (индекс, INR); </w:t>
      </w:r>
      <w:proofErr w:type="spellStart"/>
      <w:r w:rsidRPr="00D70529">
        <w:rPr>
          <w:rFonts w:ascii="Arial" w:eastAsia="Times New Roman" w:hAnsi="Arial" w:cs="Times New Roman"/>
          <w:szCs w:val="20"/>
        </w:rPr>
        <w:t>аПТТ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D70529">
        <w:rPr>
          <w:rFonts w:ascii="Arial" w:eastAsia="Times New Roman" w:hAnsi="Arial" w:cs="Times New Roman"/>
          <w:szCs w:val="20"/>
        </w:rPr>
        <w:t>пТПВ</w:t>
      </w:r>
      <w:proofErr w:type="spellEnd"/>
      <w:r w:rsidRPr="00D70529">
        <w:rPr>
          <w:rFonts w:ascii="Arial" w:eastAsia="Times New Roman" w:hAnsi="Arial" w:cs="Times New Roman"/>
          <w:szCs w:val="20"/>
        </w:rPr>
        <w:t>/ККВ).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2.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ехография на коремни органи,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ретроперитонеум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 малък таз.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И при показания: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3.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изследване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>със или без вземане на материал за хистологично (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друга цитология):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долна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колоно-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оглед през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стома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При съмнение за злокачествен процес на дебелото черво или полип/</w:t>
      </w:r>
      <w:proofErr w:type="spellStart"/>
      <w:r w:rsidRPr="00D70529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 задължително извършването на тотален оглед на червото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При невъзможност – </w:t>
      </w:r>
      <w:proofErr w:type="spellStart"/>
      <w:r w:rsidRPr="00D70529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комбинация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4.</w:t>
      </w:r>
      <w:r w:rsidRPr="00D70529">
        <w:rPr>
          <w:rFonts w:ascii="Arial" w:eastAsia="Times New Roman" w:hAnsi="Arial" w:cs="Times New Roman"/>
          <w:b/>
          <w:szCs w:val="20"/>
        </w:rPr>
        <w:t xml:space="preserve"> Хистологично изследване</w:t>
      </w:r>
      <w:r w:rsidRPr="00D70529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противопоказано при кървяща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невъзможно – при изразени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анатомични особености, след хирургия.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5.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Ендоректална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 – при налична апаратура и специалист със съответната квалификация.</w:t>
      </w:r>
    </w:p>
    <w:p w:rsidR="00D70529" w:rsidRPr="00D70529" w:rsidRDefault="00D70529" w:rsidP="00D70529">
      <w:pPr>
        <w:widowControl w:val="0"/>
        <w:spacing w:after="0" w:line="240" w:lineRule="auto"/>
        <w:ind w:left="567" w:hanging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6.</w:t>
      </w:r>
      <w:r w:rsidRPr="00D70529">
        <w:rPr>
          <w:rFonts w:ascii="Arial" w:eastAsia="Times New Roman" w:hAnsi="Arial" w:cs="Times New Roman"/>
          <w:b/>
          <w:szCs w:val="20"/>
        </w:rPr>
        <w:t xml:space="preserve"> Рентгеново изследване - по преценка.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обзорна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корем; 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b/>
          <w:szCs w:val="20"/>
        </w:rPr>
        <w:t xml:space="preserve"> </w:t>
      </w:r>
      <w:r w:rsidRPr="00D70529">
        <w:rPr>
          <w:rFonts w:ascii="Arial" w:eastAsia="Times New Roman" w:hAnsi="Arial" w:cs="Times New Roman"/>
          <w:szCs w:val="20"/>
        </w:rPr>
        <w:t xml:space="preserve">контрастната рентгенография на горния ГИТ: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; според </w:t>
      </w:r>
      <w:r w:rsidRPr="00D70529">
        <w:rPr>
          <w:rFonts w:ascii="Arial" w:eastAsia="Times New Roman" w:hAnsi="Arial" w:cs="Times New Roman"/>
          <w:szCs w:val="20"/>
        </w:rPr>
        <w:lastRenderedPageBreak/>
        <w:t xml:space="preserve">съответното заболяване и показания – и на хранопровод, стомах,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дуоденум</w:t>
      </w:r>
      <w:proofErr w:type="spellEnd"/>
      <w:r w:rsidRPr="00D70529">
        <w:rPr>
          <w:rFonts w:ascii="Arial" w:eastAsia="Times New Roman" w:hAnsi="Arial" w:cs="Times New Roman"/>
          <w:szCs w:val="20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Контрастното рентгеново изследване с приет контраст през устата не е информативно за дебелото черво.</w:t>
      </w:r>
    </w:p>
    <w:p w:rsidR="00D70529" w:rsidRPr="00D70529" w:rsidRDefault="00D70529" w:rsidP="00D70529">
      <w:pPr>
        <w:widowControl w:val="0"/>
        <w:spacing w:after="0" w:line="240" w:lineRule="auto"/>
        <w:ind w:hanging="5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7.</w:t>
      </w:r>
      <w:r w:rsidRPr="00D70529">
        <w:rPr>
          <w:rFonts w:ascii="Arial" w:eastAsia="Times New Roman" w:hAnsi="Arial" w:cs="Times New Roman"/>
          <w:b/>
          <w:szCs w:val="20"/>
        </w:rPr>
        <w:t xml:space="preserve"> Допълнителни изследвания </w:t>
      </w:r>
      <w:r w:rsidRPr="00D70529">
        <w:rPr>
          <w:rFonts w:ascii="Arial" w:eastAsia="Times New Roman" w:hAnsi="Arial" w:cs="Times New Roman"/>
          <w:szCs w:val="20"/>
        </w:rPr>
        <w:t>- при показания: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кръвна група;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hanging="924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рентгенография на бял дроб и сърце;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0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изследвания (</w:t>
      </w:r>
      <w:proofErr w:type="spellStart"/>
      <w:r w:rsidRPr="00D70529">
        <w:rPr>
          <w:rFonts w:ascii="Arial" w:eastAsia="Times New Roman" w:hAnsi="Arial" w:cs="Times New Roman"/>
          <w:szCs w:val="20"/>
        </w:rPr>
        <w:t>фецес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друг биологичен материал), </w:t>
      </w:r>
      <w:proofErr w:type="spellStart"/>
      <w:r w:rsidRPr="00D70529">
        <w:rPr>
          <w:rFonts w:ascii="Arial" w:eastAsia="Times New Roman" w:hAnsi="Arial" w:cs="Times New Roman"/>
        </w:rPr>
        <w:t>имунологични</w:t>
      </w:r>
      <w:proofErr w:type="spellEnd"/>
      <w:r w:rsidRPr="00D70529">
        <w:rPr>
          <w:rFonts w:ascii="Arial" w:eastAsia="Times New Roman" w:hAnsi="Arial" w:cs="Times New Roman"/>
        </w:rPr>
        <w:t xml:space="preserve"> и други изследвания;</w:t>
      </w:r>
    </w:p>
    <w:p w:rsidR="00D70529" w:rsidRPr="00D70529" w:rsidRDefault="00D70529" w:rsidP="004630C1">
      <w:pPr>
        <w:widowControl w:val="0"/>
        <w:numPr>
          <w:ilvl w:val="0"/>
          <w:numId w:val="1"/>
        </w:numPr>
        <w:tabs>
          <w:tab w:val="clear" w:pos="1494"/>
          <w:tab w:val="num" w:pos="570"/>
          <w:tab w:val="num" w:pos="709"/>
        </w:tabs>
        <w:spacing w:after="0" w:line="240" w:lineRule="auto"/>
        <w:ind w:left="0"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специфични функционални тестове (според съответното заболяване и показания).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Ако болен с онкологично заболяване подлежи на оперативно лечение,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лъче–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химиотерапия, се изследват и съответните туморни маркери.</w:t>
      </w:r>
    </w:p>
    <w:p w:rsidR="00D70529" w:rsidRPr="00D70529" w:rsidRDefault="00D70529" w:rsidP="00D70529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</w:rPr>
        <w:t>При установени отклонения на лабораторни показатели и биоконстанти се извършват контролни изследвания - по преценка.</w:t>
      </w:r>
    </w:p>
    <w:p w:rsidR="004630C1" w:rsidRDefault="004630C1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</w:p>
    <w:p w:rsidR="00D70529" w:rsidRPr="00D70529" w:rsidRDefault="00D70529" w:rsidP="00D70529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>ЛЕЧЕНИЕ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D70529">
        <w:rPr>
          <w:rFonts w:ascii="Arial" w:eastAsia="Times New Roman" w:hAnsi="Arial" w:cs="Times New Roman"/>
          <w:b/>
        </w:rPr>
        <w:t xml:space="preserve">1. </w:t>
      </w: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лечение.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D70529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D70529">
        <w:rPr>
          <w:rFonts w:ascii="Arial" w:eastAsia="Times New Roman" w:hAnsi="Arial" w:cs="Times New Roman"/>
          <w:b/>
        </w:rPr>
        <w:t>интестинална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сонда</w:t>
      </w:r>
      <w:r w:rsidRPr="00D70529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D70529">
        <w:rPr>
          <w:rFonts w:ascii="Arial" w:eastAsia="Times New Roman" w:hAnsi="Arial" w:cs="Times New Roman"/>
        </w:rPr>
        <w:t>инстилация</w:t>
      </w:r>
      <w:proofErr w:type="spellEnd"/>
      <w:r w:rsidRPr="00D70529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D70529">
        <w:rPr>
          <w:rFonts w:ascii="Arial" w:eastAsia="Times New Roman" w:hAnsi="Arial" w:cs="Times New Roman"/>
        </w:rPr>
        <w:t>ентерално</w:t>
      </w:r>
      <w:proofErr w:type="spellEnd"/>
      <w:r w:rsidRPr="00D70529">
        <w:rPr>
          <w:rFonts w:ascii="Arial" w:eastAsia="Times New Roman" w:hAnsi="Arial" w:cs="Times New Roman"/>
        </w:rPr>
        <w:t xml:space="preserve"> хранене).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proofErr w:type="spellStart"/>
      <w:r w:rsidRPr="00D70529">
        <w:rPr>
          <w:rFonts w:ascii="Arial" w:eastAsia="Times New Roman" w:hAnsi="Arial" w:cs="Times New Roman"/>
          <w:b/>
        </w:rPr>
        <w:t>Ендоскопска</w:t>
      </w:r>
      <w:proofErr w:type="spellEnd"/>
      <w:r w:rsidRPr="00D70529">
        <w:rPr>
          <w:rFonts w:ascii="Arial" w:eastAsia="Times New Roman" w:hAnsi="Arial" w:cs="Times New Roman"/>
          <w:b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/>
        </w:rPr>
        <w:t>хемостаза</w:t>
      </w:r>
      <w:proofErr w:type="spellEnd"/>
      <w:r w:rsidRPr="00D70529">
        <w:rPr>
          <w:rFonts w:ascii="Arial" w:eastAsia="Times New Roman" w:hAnsi="Arial" w:cs="Times New Roman"/>
        </w:rPr>
        <w:t xml:space="preserve"> – в допълнение на другите </w:t>
      </w:r>
      <w:proofErr w:type="spellStart"/>
      <w:r w:rsidRPr="00D70529">
        <w:rPr>
          <w:rFonts w:ascii="Arial" w:eastAsia="Times New Roman" w:hAnsi="Arial" w:cs="Times New Roman"/>
        </w:rPr>
        <w:t>ендоскопски</w:t>
      </w:r>
      <w:proofErr w:type="spellEnd"/>
      <w:r w:rsidRPr="00D70529">
        <w:rPr>
          <w:rFonts w:ascii="Arial" w:eastAsia="Times New Roman" w:hAnsi="Arial" w:cs="Times New Roman"/>
        </w:rPr>
        <w:t xml:space="preserve"> процедури или при видимо кървяща </w:t>
      </w:r>
      <w:proofErr w:type="spellStart"/>
      <w:r w:rsidRPr="00D70529">
        <w:rPr>
          <w:rFonts w:ascii="Arial" w:eastAsia="Times New Roman" w:hAnsi="Arial" w:cs="Times New Roman"/>
        </w:rPr>
        <w:t>лезия</w:t>
      </w:r>
      <w:proofErr w:type="spellEnd"/>
      <w:r w:rsidRPr="00D70529">
        <w:rPr>
          <w:rFonts w:ascii="Arial" w:eastAsia="Times New Roman" w:hAnsi="Arial" w:cs="Times New Roman"/>
        </w:rPr>
        <w:t xml:space="preserve">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D70529">
        <w:rPr>
          <w:rFonts w:ascii="Arial" w:eastAsia="Times New Roman" w:hAnsi="Arial" w:cs="Times New Roman"/>
          <w:b/>
          <w:szCs w:val="20"/>
        </w:rPr>
        <w:t xml:space="preserve">терапевтични процедури под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контрол.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 xml:space="preserve">2. </w:t>
      </w:r>
      <w:r w:rsidRPr="00D70529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D70529">
        <w:rPr>
          <w:rFonts w:ascii="Arial" w:eastAsia="Times New Roman" w:hAnsi="Arial" w:cs="Times New Roman"/>
          <w:bCs/>
          <w:szCs w:val="20"/>
        </w:rPr>
        <w:t xml:space="preserve"> - включва лечение на основното заболяване и/или корекция на жизнено важни функции, според препоръките за стандартизирано поведение на БНДГЕ (Българско научно дружество по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гастроентерология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>)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.</w:t>
      </w: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D70529">
        <w:rPr>
          <w:rFonts w:ascii="Arial" w:eastAsia="Times New Roman" w:hAnsi="Arial" w:cs="Times New Roman"/>
          <w:bCs/>
          <w:szCs w:val="20"/>
        </w:rPr>
        <w:t xml:space="preserve">Лечението се провежда с: кръвоспиращи, кортикостероиди,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колхицин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др., противовъзпалителни средства;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имуносупресори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месалазин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антибиотици,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химиотерапевтици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ензимни препарати;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лактулоза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спазмолитици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обезболяващи; лекарства, повлияващи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моториката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червата,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хепарин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; електролитни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инфузионни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р-ри; средства за корекция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хипоалбуминемия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и анемия и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заместителна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терапия при синдром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малабсорбция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соматостатин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антисекретори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– Н2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блокери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инхибитори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на </w:t>
      </w:r>
      <w:proofErr w:type="spellStart"/>
      <w:r w:rsidRPr="00D70529">
        <w:rPr>
          <w:rFonts w:ascii="Arial" w:eastAsia="Times New Roman" w:hAnsi="Arial" w:cs="Times New Roman"/>
          <w:bCs/>
          <w:szCs w:val="20"/>
        </w:rPr>
        <w:t>протонната</w:t>
      </w:r>
      <w:proofErr w:type="spellEnd"/>
      <w:r w:rsidRPr="00D70529">
        <w:rPr>
          <w:rFonts w:ascii="Arial" w:eastAsia="Times New Roman" w:hAnsi="Arial" w:cs="Times New Roman"/>
          <w:bCs/>
          <w:szCs w:val="20"/>
        </w:rPr>
        <w:t xml:space="preserve"> помпа (ИПП</w:t>
      </w:r>
      <w:r w:rsidRPr="00D70529">
        <w:rPr>
          <w:rFonts w:ascii="Arial" w:eastAsia="Times New Roman" w:hAnsi="Arial" w:cs="Times New Roman"/>
          <w:bCs/>
          <w:szCs w:val="20"/>
          <w:lang w:val="ru-RU"/>
        </w:rPr>
        <w:t>)</w:t>
      </w:r>
      <w:r w:rsidRPr="00D70529">
        <w:rPr>
          <w:rFonts w:ascii="Arial" w:eastAsia="Times New Roman" w:hAnsi="Arial" w:cs="Times New Roman"/>
          <w:bCs/>
          <w:szCs w:val="20"/>
        </w:rPr>
        <w:t xml:space="preserve"> и др. по индикации.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  <w:r w:rsidRPr="00D70529">
        <w:rPr>
          <w:rFonts w:ascii="Arial" w:eastAsia="Times New Roman" w:hAnsi="Arial" w:cs="Times New Roman"/>
          <w:b/>
        </w:rPr>
        <w:t xml:space="preserve">3. Показания за оперативно лечение. 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D70529">
        <w:rPr>
          <w:rFonts w:ascii="Arial" w:eastAsia="Times New Roman" w:hAnsi="Arial" w:cs="Times New Roman"/>
          <w:b/>
          <w:snapToGrid w:val="0"/>
        </w:rPr>
        <w:t>При индикац</w:t>
      </w:r>
      <w:bookmarkStart w:id="0" w:name="_GoBack"/>
      <w:bookmarkEnd w:id="0"/>
      <w:r w:rsidRPr="00D70529">
        <w:rPr>
          <w:rFonts w:ascii="Arial" w:eastAsia="Times New Roman" w:hAnsi="Arial" w:cs="Times New Roman"/>
          <w:b/>
          <w:snapToGrid w:val="0"/>
        </w:rPr>
        <w:t>ии</w:t>
      </w:r>
      <w:r w:rsidRPr="00D70529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 </w:t>
      </w:r>
      <w:r w:rsidRPr="00D70529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D70529" w:rsidRPr="004630C1" w:rsidRDefault="00D70529" w:rsidP="00D70529">
      <w:pPr>
        <w:spacing w:after="0" w:line="240" w:lineRule="auto"/>
        <w:ind w:left="720"/>
        <w:jc w:val="both"/>
        <w:rPr>
          <w:rFonts w:ascii="Arial" w:eastAsia="Times New Roman" w:hAnsi="Arial" w:cs="Arial"/>
          <w:noProof/>
        </w:rPr>
      </w:pPr>
      <w:r w:rsidRPr="004630C1">
        <w:rPr>
          <w:rFonts w:ascii="Arial" w:eastAsia="Times New Roman" w:hAnsi="Arial" w:cs="Times New Roman"/>
          <w:szCs w:val="20"/>
        </w:rPr>
        <w:t>Здравни грижи.</w:t>
      </w:r>
    </w:p>
    <w:p w:rsidR="00D70529" w:rsidRPr="00D70529" w:rsidRDefault="00D70529" w:rsidP="00D70529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хистологично изследване;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ендолуменна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ехография;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>, хистологично или функционално изследване - при заболявания на проксималните отдели на тънкото черво;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след контрастно </w:t>
      </w:r>
      <w:proofErr w:type="spellStart"/>
      <w:r w:rsidRPr="00D70529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– при моторни нарушения,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дивертикули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червото</w:t>
      </w:r>
      <w:r w:rsidRPr="00D70529">
        <w:rPr>
          <w:rFonts w:ascii="Arial" w:eastAsia="Times New Roman" w:hAnsi="Arial" w:cs="Times New Roman"/>
          <w:sz w:val="24"/>
          <w:szCs w:val="20"/>
        </w:rPr>
        <w:t xml:space="preserve">; </w:t>
      </w:r>
      <w:r w:rsidRPr="00D70529">
        <w:rPr>
          <w:rFonts w:ascii="Arial" w:eastAsia="Times New Roman" w:hAnsi="Arial" w:cs="Times New Roman"/>
          <w:szCs w:val="20"/>
        </w:rPr>
        <w:t xml:space="preserve">при невъзможен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достъп (преминаване през изразена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обструкция отвън,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промени, опасност от </w:t>
      </w:r>
      <w:r w:rsidRPr="00D70529">
        <w:rPr>
          <w:rFonts w:ascii="Arial" w:eastAsia="Times New Roman" w:hAnsi="Arial" w:cs="Times New Roman"/>
          <w:szCs w:val="20"/>
        </w:rPr>
        <w:lastRenderedPageBreak/>
        <w:t xml:space="preserve">перфорация, </w:t>
      </w:r>
      <w:proofErr w:type="spellStart"/>
      <w:r w:rsidRPr="00D70529">
        <w:rPr>
          <w:rFonts w:ascii="Arial" w:eastAsia="Times New Roman" w:hAnsi="Arial" w:cs="Times New Roman"/>
          <w:szCs w:val="20"/>
        </w:rPr>
        <w:t>лезия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разположена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недостигаема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част на тънко черво,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променена анатомия от патологичен процес или постоперативно; фистула,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пенетрация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други;</w:t>
      </w: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D70529">
        <w:rPr>
          <w:rFonts w:ascii="Arial" w:eastAsia="Times New Roman" w:hAnsi="Arial" w:cs="Times New Roman"/>
          <w:b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D70529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D70529">
        <w:rPr>
          <w:rFonts w:ascii="Arial" w:eastAsia="Times New Roman" w:hAnsi="Arial" w:cs="Times New Roman"/>
          <w:b/>
          <w:szCs w:val="20"/>
        </w:rPr>
        <w:t>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D70529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D70529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- доказване, </w:t>
      </w:r>
      <w:proofErr w:type="spellStart"/>
      <w:r w:rsidRPr="00D70529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 определяне на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операбилността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на тумор или насока към алтернативни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други процедури;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 овладян анемичен синдром.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доказване на онкологично заболяване.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D70529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D70529" w:rsidRPr="00D70529" w:rsidRDefault="00D70529" w:rsidP="00D70529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D70529" w:rsidRPr="00D70529" w:rsidRDefault="00D70529" w:rsidP="00D705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70529" w:rsidRPr="00D70529" w:rsidRDefault="00D70529" w:rsidP="00D70529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D70529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D70529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D70529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1.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D70529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D70529">
        <w:rPr>
          <w:rFonts w:ascii="Arial" w:eastAsia="Times New Roman" w:hAnsi="Arial" w:cs="Times New Roman"/>
          <w:b/>
          <w:noProof/>
          <w:szCs w:val="20"/>
        </w:rPr>
        <w:t>2.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</w:t>
      </w:r>
      <w:r w:rsidRPr="00D70529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D70529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D70529">
        <w:rPr>
          <w:rFonts w:ascii="Arial" w:eastAsia="Times New Roman" w:hAnsi="Arial" w:cs="Times New Roman"/>
          <w:noProof/>
          <w:szCs w:val="20"/>
        </w:rPr>
        <w:t>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D70529">
        <w:rPr>
          <w:rFonts w:ascii="Arial" w:eastAsia="Times New Roman" w:hAnsi="Arial" w:cs="Times New Roman"/>
          <w:i/>
          <w:szCs w:val="20"/>
        </w:rPr>
        <w:t>-</w:t>
      </w:r>
      <w:r w:rsidRPr="00D70529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D70529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-</w:t>
      </w:r>
      <w:r w:rsidRPr="00D70529">
        <w:rPr>
          <w:rFonts w:ascii="Arial" w:eastAsia="Times New Roman" w:hAnsi="Arial" w:cs="Times New Roman"/>
          <w:szCs w:val="20"/>
        </w:rPr>
        <w:tab/>
      </w:r>
      <w:proofErr w:type="spellStart"/>
      <w:r w:rsidRPr="00D70529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D70529">
        <w:rPr>
          <w:rFonts w:ascii="Arial" w:eastAsia="Times New Roman" w:hAnsi="Arial" w:cs="Arial"/>
          <w:noProof/>
        </w:rPr>
        <w:t>(родителя/настойника/попечителя)</w:t>
      </w:r>
      <w:r w:rsidRPr="00D70529">
        <w:rPr>
          <w:rFonts w:ascii="Arial" w:eastAsia="Times New Roman" w:hAnsi="Arial" w:cs="Times New Roman"/>
          <w:szCs w:val="20"/>
        </w:rPr>
        <w:t>, отразен в ИЗ.</w:t>
      </w: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D70529" w:rsidRPr="00D70529" w:rsidRDefault="00D70529" w:rsidP="00D70529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D70529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D70529">
        <w:rPr>
          <w:rFonts w:ascii="Arial" w:eastAsia="Times New Roman" w:hAnsi="Arial" w:cs="Times New Roman"/>
          <w:b/>
          <w:szCs w:val="20"/>
        </w:rPr>
        <w:t>.</w:t>
      </w:r>
      <w:r w:rsidRPr="00D70529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D70529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D70529">
        <w:rPr>
          <w:rFonts w:ascii="Arial" w:eastAsia="Times New Roman" w:hAnsi="Arial" w:cs="Times New Roman"/>
          <w:szCs w:val="20"/>
        </w:rPr>
        <w:t xml:space="preserve"> </w:t>
      </w:r>
      <w:r w:rsidRPr="00D70529">
        <w:rPr>
          <w:rFonts w:ascii="Arial" w:eastAsia="Times New Roman" w:hAnsi="Arial" w:cs="Times New Roman"/>
          <w:noProof/>
          <w:szCs w:val="20"/>
        </w:rPr>
        <w:t xml:space="preserve">и е неразделна част от </w:t>
      </w:r>
      <w:r w:rsidRPr="00D70529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br w:type="page"/>
      </w:r>
      <w:r w:rsidRPr="00D70529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D70529" w:rsidRPr="00D70529" w:rsidRDefault="00D70529" w:rsidP="00D70529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szCs w:val="20"/>
        </w:rPr>
      </w:pP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D70529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D70529" w:rsidRPr="00D70529" w:rsidRDefault="00D70529" w:rsidP="00D70529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D70529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D70529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да станат </w:t>
      </w:r>
      <w:proofErr w:type="spellStart"/>
      <w:r w:rsidRPr="00D70529">
        <w:rPr>
          <w:rFonts w:ascii="Arial" w:eastAsia="Times New Roman" w:hAnsi="Arial" w:cs="Times New Roman"/>
          <w:szCs w:val="20"/>
        </w:rPr>
        <w:t>катраненочерни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D70529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D70529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D70529">
        <w:rPr>
          <w:rFonts w:ascii="Arial" w:eastAsia="Times New Roman" w:hAnsi="Arial" w:cs="Times New Roman"/>
          <w:szCs w:val="20"/>
        </w:rPr>
        <w:t>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D70529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D70529" w:rsidRPr="00D70529" w:rsidRDefault="00D70529" w:rsidP="00D70529">
      <w:pPr>
        <w:numPr>
          <w:ilvl w:val="0"/>
          <w:numId w:val="2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D70529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D70529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D70529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D70529" w:rsidRPr="00D70529" w:rsidRDefault="00D70529" w:rsidP="00D70529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D70529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D70529" w:rsidRDefault="00D70529"/>
    <w:sectPr w:rsidR="00D705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Franklin Gothic Demi Cond">
    <w:panose1 w:val="020B07060304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ll Times New Roman">
    <w:altName w:val="Times New Roman"/>
    <w:charset w:val="CC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555A02"/>
    <w:multiLevelType w:val="hybridMultilevel"/>
    <w:tmpl w:val="3E7A1BF2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">
    <w:nsid w:val="5E3C5FB8"/>
    <w:multiLevelType w:val="hybridMultilevel"/>
    <w:tmpl w:val="CA5CA54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7426"/>
    <w:rsid w:val="001A0777"/>
    <w:rsid w:val="001A7ED9"/>
    <w:rsid w:val="002B6F28"/>
    <w:rsid w:val="004630C1"/>
    <w:rsid w:val="009D3CED"/>
    <w:rsid w:val="00A6025A"/>
    <w:rsid w:val="00AB1AB8"/>
    <w:rsid w:val="00D70529"/>
    <w:rsid w:val="00E8742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D70529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D70529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D70529"/>
  </w:style>
  <w:style w:type="paragraph" w:customStyle="1" w:styleId="chast">
    <w:name w:val="chast"/>
    <w:basedOn w:val="Normal"/>
    <w:rsid w:val="00D70529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D70529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D70529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styleId="PageNumber">
    <w:name w:val="page number"/>
    <w:basedOn w:val="DefaultParagraphFont"/>
    <w:rsid w:val="00D70529"/>
  </w:style>
  <w:style w:type="paragraph" w:customStyle="1" w:styleId="ExcludeSecBold">
    <w:name w:val="ExcludeSecBold"/>
    <w:basedOn w:val="Normal"/>
    <w:autoRedefine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D70529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D70529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num2">
    <w:name w:val="num2"/>
    <w:basedOn w:val="Normal"/>
    <w:next w:val="Normal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textpt">
    <w:name w:val="text_pt"/>
    <w:basedOn w:val="Normal"/>
    <w:next w:val="Normal"/>
    <w:rsid w:val="00D70529"/>
    <w:pPr>
      <w:tabs>
        <w:tab w:val="left" w:pos="1134"/>
        <w:tab w:val="left" w:pos="1304"/>
      </w:tabs>
      <w:autoSpaceDE w:val="0"/>
      <w:autoSpaceDN w:val="0"/>
      <w:adjustRightInd w:val="0"/>
      <w:spacing w:after="0" w:line="240" w:lineRule="auto"/>
      <w:ind w:left="1304" w:hanging="176"/>
      <w:jc w:val="both"/>
    </w:pPr>
    <w:rPr>
      <w:rFonts w:ascii="TmsCyr" w:eastAsia="Times New Roman" w:hAnsi="TmsCyr" w:cs="Times New Roman"/>
      <w:lang w:val="en-US"/>
    </w:rPr>
  </w:style>
  <w:style w:type="paragraph" w:customStyle="1" w:styleId="text">
    <w:name w:val="text"/>
    <w:rsid w:val="00D705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">
    <w:name w:val="incl"/>
    <w:basedOn w:val="text"/>
    <w:rsid w:val="00D70529"/>
    <w:pPr>
      <w:tabs>
        <w:tab w:val="left" w:pos="2835"/>
      </w:tabs>
      <w:ind w:left="2835" w:hanging="2835"/>
    </w:pPr>
  </w:style>
  <w:style w:type="paragraph" w:customStyle="1" w:styleId="incltx">
    <w:name w:val="incl_tx"/>
    <w:basedOn w:val="incl"/>
    <w:rsid w:val="00D70529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D705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D70529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D70529"/>
    <w:rPr>
      <w:rFonts w:ascii="Arial" w:eastAsia="Times New Roman" w:hAnsi="Arial" w:cs="Times New Roman"/>
      <w:szCs w:val="20"/>
    </w:rPr>
  </w:style>
  <w:style w:type="paragraph" w:customStyle="1" w:styleId="Style87">
    <w:name w:val="Style87"/>
    <w:basedOn w:val="Normal"/>
    <w:rsid w:val="00D70529"/>
    <w:pPr>
      <w:widowControl w:val="0"/>
      <w:autoSpaceDE w:val="0"/>
      <w:autoSpaceDN w:val="0"/>
      <w:adjustRightInd w:val="0"/>
      <w:spacing w:after="0" w:line="413" w:lineRule="exact"/>
      <w:jc w:val="both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186">
    <w:name w:val="Style186"/>
    <w:basedOn w:val="Normal"/>
    <w:rsid w:val="00D70529"/>
    <w:pPr>
      <w:widowControl w:val="0"/>
      <w:autoSpaceDE w:val="0"/>
      <w:autoSpaceDN w:val="0"/>
      <w:adjustRightInd w:val="0"/>
      <w:spacing w:after="0" w:line="240" w:lineRule="auto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paragraph" w:customStyle="1" w:styleId="Style200">
    <w:name w:val="Style200"/>
    <w:basedOn w:val="Normal"/>
    <w:rsid w:val="00D70529"/>
    <w:pPr>
      <w:widowControl w:val="0"/>
      <w:autoSpaceDE w:val="0"/>
      <w:autoSpaceDN w:val="0"/>
      <w:adjustRightInd w:val="0"/>
      <w:spacing w:after="0" w:line="264" w:lineRule="exact"/>
    </w:pPr>
    <w:rPr>
      <w:rFonts w:ascii="Franklin Gothic Demi Cond" w:eastAsia="Times New Roman" w:hAnsi="Franklin Gothic Demi Cond" w:cs="Times New Roman"/>
      <w:sz w:val="24"/>
      <w:szCs w:val="24"/>
      <w:lang w:eastAsia="bg-BG"/>
    </w:rPr>
  </w:style>
  <w:style w:type="character" w:customStyle="1" w:styleId="FontStyle269">
    <w:name w:val="Font Style269"/>
    <w:rsid w:val="00D70529"/>
    <w:rPr>
      <w:rFonts w:ascii="Times New Roman" w:hAnsi="Times New Roman" w:cs="Times New Roman"/>
      <w:sz w:val="20"/>
      <w:szCs w:val="20"/>
    </w:rPr>
  </w:style>
  <w:style w:type="character" w:customStyle="1" w:styleId="FontStyle291">
    <w:name w:val="Font Style291"/>
    <w:rsid w:val="00D7052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93">
    <w:name w:val="Font Style293"/>
    <w:rsid w:val="00D70529"/>
    <w:rPr>
      <w:rFonts w:ascii="Arial" w:hAnsi="Arial" w:cs="Arial"/>
      <w:b/>
      <w:bCs/>
      <w:i/>
      <w:iCs/>
      <w:sz w:val="18"/>
      <w:szCs w:val="18"/>
    </w:rPr>
  </w:style>
  <w:style w:type="paragraph" w:customStyle="1" w:styleId="body2">
    <w:name w:val="body_2"/>
    <w:basedOn w:val="Normal"/>
    <w:next w:val="Normal"/>
    <w:uiPriority w:val="99"/>
    <w:rsid w:val="00D70529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1">
    <w:name w:val="Line_1"/>
    <w:next w:val="Line2"/>
    <w:autoRedefine/>
    <w:uiPriority w:val="99"/>
    <w:qFormat/>
    <w:rsid w:val="00D705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705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3">
    <w:name w:val="body_3"/>
    <w:basedOn w:val="Normal"/>
    <w:uiPriority w:val="99"/>
    <w:rsid w:val="00D70529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D70529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D70529"/>
    <w:rPr>
      <w:rFonts w:ascii="Arial" w:eastAsia="Times New Roman" w:hAnsi="Arial" w:cs="Times New Roman"/>
      <w:b/>
      <w:caps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5734</Words>
  <Characters>32690</Characters>
  <Application>Microsoft Office Word</Application>
  <DocSecurity>0</DocSecurity>
  <Lines>272</Lines>
  <Paragraphs>76</Paragraphs>
  <ScaleCrop>false</ScaleCrop>
  <Company>NZOK</Company>
  <LinksUpToDate>false</LinksUpToDate>
  <CharactersWithSpaces>38348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2017-03-08T09:11:00Z</dcterms:created>
  <dcterms:modified xsi:type="dcterms:W3CDTF">2017-03-08T12:30:00Z</dcterms:modified>
</cp:coreProperties>
</file>