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CB" w:rsidRDefault="001000CB" w:rsidP="001000CB">
      <w:pPr>
        <w:pStyle w:val="chast"/>
        <w:keepNext/>
        <w:keepLines/>
        <w:spacing w:after="0"/>
        <w:rPr>
          <w:snapToGrid w:val="0"/>
          <w:lang w:val="bg-BG"/>
        </w:rPr>
      </w:pPr>
      <w:proofErr w:type="spellStart"/>
      <w:r w:rsidRPr="00D04019">
        <w:rPr>
          <w:snapToGrid w:val="0"/>
          <w:lang w:val="bg-BG"/>
        </w:rPr>
        <w:t>АП</w:t>
      </w:r>
      <w:r w:rsidRPr="00D04019">
        <w:rPr>
          <w:caps w:val="0"/>
          <w:snapToGrid w:val="0"/>
          <w:lang w:val="bg-BG"/>
        </w:rPr>
        <w:t>р</w:t>
      </w:r>
      <w:proofErr w:type="spellEnd"/>
      <w:r w:rsidRPr="00D04019">
        <w:rPr>
          <w:snapToGrid w:val="0"/>
          <w:lang w:val="bg-BG"/>
        </w:rPr>
        <w:t xml:space="preserve"> №</w:t>
      </w:r>
      <w:r w:rsidRPr="00D04019">
        <w:rPr>
          <w:snapToGrid w:val="0"/>
          <w:lang w:val="ru-RU"/>
        </w:rPr>
        <w:t xml:space="preserve"> 30 </w:t>
      </w:r>
      <w:r w:rsidRPr="00D04019">
        <w:rPr>
          <w:snapToGrid w:val="0"/>
          <w:lang w:val="bg-BG"/>
        </w:rPr>
        <w:t xml:space="preserve"> </w:t>
      </w:r>
      <w:r>
        <w:rPr>
          <w:snapToGrid w:val="0"/>
          <w:lang w:val="bg-BG"/>
        </w:rPr>
        <w:t>НАПАСВАНЕ НА ПРОТЕЗА НА ГОРЕН ИЛИ ДОЛЕН КРАЙНИК</w:t>
      </w:r>
      <w:r w:rsidRPr="00D04019">
        <w:rPr>
          <w:snapToGrid w:val="0"/>
          <w:lang w:val="bg-BG"/>
        </w:rPr>
        <w:t xml:space="preserve"> </w:t>
      </w:r>
    </w:p>
    <w:p w:rsidR="001000CB" w:rsidRDefault="001000CB" w:rsidP="001000CB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strike/>
          <w:sz w:val="28"/>
        </w:rPr>
      </w:pPr>
    </w:p>
    <w:p w:rsidR="001000CB" w:rsidRPr="00D04019" w:rsidRDefault="001000CB" w:rsidP="001000CB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b/>
        </w:rPr>
      </w:pPr>
      <w:r w:rsidRPr="00D04019">
        <w:rPr>
          <w:b/>
          <w:noProof/>
        </w:rPr>
        <w:t xml:space="preserve">КОДОВЕ НА ОСНОВНИ ПРОЦЕДУРИ </w:t>
      </w:r>
      <w:r w:rsidRPr="00A86726">
        <w:rPr>
          <w:b/>
          <w:noProof/>
        </w:rPr>
        <w:t xml:space="preserve">ПО </w:t>
      </w:r>
      <w:r w:rsidR="00151E98" w:rsidRPr="00F34AB1">
        <w:rPr>
          <w:b/>
          <w:noProof/>
          <w:highlight w:val="yellow"/>
        </w:rPr>
        <w:t>МКБ-9 КМ</w:t>
      </w:r>
      <w:r w:rsidR="00151E98" w:rsidRPr="00CE65AC">
        <w:rPr>
          <w:b/>
          <w:noProof/>
        </w:rPr>
        <w:t>/АКМП</w:t>
      </w:r>
    </w:p>
    <w:tbl>
      <w:tblPr>
        <w:tblW w:w="9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151E98" w:rsidTr="00151E98">
        <w:trPr>
          <w:trHeight w:val="557"/>
          <w:jc w:val="center"/>
        </w:trPr>
        <w:tc>
          <w:tcPr>
            <w:tcW w:w="9607" w:type="dxa"/>
          </w:tcPr>
          <w:p w:rsidR="00151E98" w:rsidRDefault="00151E98" w:rsidP="00F86532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151E98" w:rsidRDefault="00151E98" w:rsidP="00F86532">
            <w:pPr>
              <w:pStyle w:val="SrgCod"/>
              <w:tabs>
                <w:tab w:val="left" w:pos="1610"/>
              </w:tabs>
              <w:spacing w:line="240" w:lineRule="auto"/>
              <w:rPr>
                <w:color w:val="000000"/>
                <w:szCs w:val="20"/>
                <w:highlight w:val="yellow"/>
                <w:lang w:val="ru-RU"/>
              </w:rPr>
            </w:pPr>
          </w:p>
          <w:p w:rsidR="00151E98" w:rsidRPr="00212583" w:rsidRDefault="00151E98" w:rsidP="00F86532">
            <w:pPr>
              <w:pStyle w:val="SrgCod"/>
              <w:tabs>
                <w:tab w:val="left" w:pos="1610"/>
              </w:tabs>
              <w:spacing w:line="240" w:lineRule="auto"/>
              <w:rPr>
                <w:color w:val="000000"/>
                <w:szCs w:val="20"/>
                <w:lang w:val="ru-RU"/>
              </w:rPr>
            </w:pPr>
            <w:r>
              <w:rPr>
                <w:color w:val="000000"/>
                <w:szCs w:val="20"/>
                <w:highlight w:val="yellow"/>
                <w:lang w:val="en-US"/>
              </w:rPr>
              <w:t>*</w:t>
            </w:r>
            <w:r w:rsidRPr="004E067E">
              <w:rPr>
                <w:color w:val="000000"/>
                <w:szCs w:val="20"/>
                <w:highlight w:val="yellow"/>
                <w:lang w:val="ru-RU"/>
              </w:rPr>
              <w:t>84.40 Напасване на протеза на горен или долен крайник</w:t>
            </w:r>
            <w:r w:rsidRPr="00BF7F06">
              <w:rPr>
                <w:color w:val="000000"/>
                <w:szCs w:val="20"/>
                <w:lang w:val="ru-RU"/>
              </w:rPr>
              <w:t xml:space="preserve">    </w:t>
            </w:r>
          </w:p>
          <w:p w:rsidR="00151E98" w:rsidRPr="00CD362F" w:rsidRDefault="00151E98" w:rsidP="00F86532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362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CD362F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Интервенции включващи подпомагащо или адаптивно устройство, помощно средство или оборудване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362F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CD362F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color w:val="222122"/>
                <w:sz w:val="20"/>
                <w:lang w:val="bg-BG"/>
              </w:rPr>
              <w:t xml:space="preserve">Програмиране на подпомагащо или адаптиращо </w:t>
            </w:r>
            <w:proofErr w:type="spellStart"/>
            <w:r w:rsidRPr="00CD362F">
              <w:rPr>
                <w:rFonts w:cs="Arial"/>
                <w:color w:val="222122"/>
                <w:sz w:val="20"/>
                <w:lang w:val="bg-BG"/>
              </w:rPr>
              <w:t>устройстово</w:t>
            </w:r>
            <w:proofErr w:type="spellEnd"/>
            <w:r w:rsidRPr="00CD362F">
              <w:rPr>
                <w:rFonts w:cs="Arial"/>
                <w:color w:val="222122"/>
                <w:sz w:val="20"/>
                <w:lang w:val="bg-BG"/>
              </w:rPr>
              <w:t>, помощно средство или оборудване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362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362F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362F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151E98" w:rsidRPr="00CD362F" w:rsidRDefault="00151E98" w:rsidP="00F8653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362F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151E98" w:rsidRDefault="00151E98" w:rsidP="00F86532">
            <w:pPr>
              <w:pStyle w:val="SrgCod4dig"/>
              <w:keepNext/>
              <w:keepLines/>
              <w:spacing w:before="0" w:line="240" w:lineRule="auto"/>
              <w:ind w:left="0" w:firstLine="0"/>
            </w:pPr>
          </w:p>
        </w:tc>
      </w:tr>
    </w:tbl>
    <w:p w:rsidR="00151E98" w:rsidRDefault="00151E98" w:rsidP="00151E98">
      <w:pPr>
        <w:pStyle w:val="Body"/>
        <w:keepNext/>
        <w:keepLines/>
        <w:spacing w:before="0" w:line="240" w:lineRule="auto"/>
        <w:ind w:firstLine="513"/>
      </w:pPr>
      <w:r w:rsidRPr="00116096">
        <w:rPr>
          <w:b/>
        </w:rPr>
        <w:t>Изискване:</w:t>
      </w:r>
      <w:r w:rsidRPr="00116096">
        <w:t xml:space="preserve"> Амбулаторната процедура се счита за завършена, ако е извършена </w:t>
      </w:r>
      <w:r w:rsidRPr="005431CC">
        <w:t>основната процедура</w:t>
      </w:r>
      <w:r>
        <w:t xml:space="preserve"> </w:t>
      </w:r>
      <w:r>
        <w:rPr>
          <w:lang w:val="en-US"/>
        </w:rPr>
        <w:t>*</w:t>
      </w:r>
      <w:r w:rsidRPr="00153B7E">
        <w:rPr>
          <w:highlight w:val="yellow"/>
        </w:rPr>
        <w:t>84.40</w:t>
      </w:r>
      <w:r>
        <w:t>/</w:t>
      </w:r>
      <w:r w:rsidRPr="00153B7E">
        <w:t>96092-00</w:t>
      </w:r>
      <w:r>
        <w:t>.</w:t>
      </w:r>
    </w:p>
    <w:p w:rsidR="001000CB" w:rsidRPr="00C03BD0" w:rsidRDefault="001000CB" w:rsidP="001000CB">
      <w:pPr>
        <w:pStyle w:val="Body"/>
        <w:keepNext/>
        <w:keepLines/>
        <w:spacing w:before="0" w:line="240" w:lineRule="auto"/>
        <w:ind w:firstLine="513"/>
        <w:rPr>
          <w:b/>
          <w:i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000CB" w:rsidRPr="00E53B52" w:rsidRDefault="001000CB" w:rsidP="001000CB">
      <w:pPr>
        <w:keepNext/>
        <w:keepLines/>
        <w:jc w:val="both"/>
        <w:rPr>
          <w:rFonts w:ascii="Arial" w:eastAsia="Calibri" w:hAnsi="Arial" w:cs="Arial"/>
          <w:sz w:val="22"/>
          <w:szCs w:val="20"/>
          <w:lang w:val="bg-BG"/>
        </w:rPr>
      </w:pPr>
      <w:r w:rsidRPr="00494721">
        <w:rPr>
          <w:rFonts w:ascii="Arial" w:hAnsi="Arial" w:cs="Arial"/>
          <w:b/>
          <w:noProof/>
          <w:sz w:val="22"/>
          <w:szCs w:val="22"/>
        </w:rPr>
        <w:t xml:space="preserve">Амбулаторната процедура се изпълнява в обхвата на медицинската специалност "Ортопедия и травматология", осъществявана най-малко на </w:t>
      </w:r>
      <w:r w:rsidRPr="00E53B52">
        <w:rPr>
          <w:rFonts w:ascii="Arial" w:hAnsi="Arial" w:cs="Arial"/>
          <w:b/>
          <w:noProof/>
          <w:sz w:val="22"/>
          <w:szCs w:val="22"/>
        </w:rPr>
        <w:t xml:space="preserve">второ ниво </w:t>
      </w:r>
      <w:r w:rsidRPr="00494721">
        <w:rPr>
          <w:rFonts w:ascii="Arial" w:hAnsi="Arial" w:cs="Arial"/>
          <w:b/>
          <w:noProof/>
          <w:sz w:val="22"/>
          <w:szCs w:val="22"/>
        </w:rPr>
        <w:t>на компетентност, съгласно медицински стандарт "Ортопедия и травматология".</w:t>
      </w:r>
      <w:r>
        <w:rPr>
          <w:rFonts w:cs="Arial"/>
          <w:b/>
          <w:noProof/>
          <w:szCs w:val="22"/>
        </w:rPr>
        <w:t xml:space="preserve"> </w:t>
      </w:r>
      <w:r w:rsidRPr="00186FAB">
        <w:rPr>
          <w:rFonts w:ascii="Arial" w:hAnsi="Arial" w:cs="Arial"/>
          <w:noProof/>
          <w:sz w:val="22"/>
          <w:szCs w:val="22"/>
          <w:lang w:val="bg-BG"/>
        </w:rPr>
        <w:t xml:space="preserve">Изискванията за наличие на задължителни звена, апаратура и специалисти, както и </w:t>
      </w:r>
      <w:r w:rsidRPr="004C3A54">
        <w:rPr>
          <w:rFonts w:ascii="Arial" w:eastAsia="Calibri" w:hAnsi="Arial" w:cs="Arial"/>
          <w:sz w:val="22"/>
          <w:szCs w:val="20"/>
          <w:lang w:val="bg-BG"/>
        </w:rPr>
        <w:t xml:space="preserve">оперативните процедури, които могат да се извършват в условия на спешност в структура от </w:t>
      </w:r>
      <w:r w:rsidRPr="00E53B52">
        <w:rPr>
          <w:rFonts w:ascii="Arial" w:eastAsia="Calibri" w:hAnsi="Arial" w:cs="Arial"/>
          <w:sz w:val="22"/>
          <w:szCs w:val="20"/>
          <w:lang w:val="bg-BG"/>
        </w:rPr>
        <w:t xml:space="preserve">II ниво </w:t>
      </w:r>
      <w:r w:rsidRPr="004C3A54">
        <w:rPr>
          <w:rFonts w:ascii="Arial" w:eastAsia="Calibri" w:hAnsi="Arial" w:cs="Arial"/>
          <w:sz w:val="22"/>
          <w:szCs w:val="20"/>
          <w:lang w:val="bg-BG"/>
        </w:rPr>
        <w:t>на компетентност</w:t>
      </w:r>
      <w:r w:rsidRPr="00E53B52">
        <w:rPr>
          <w:rFonts w:ascii="Arial" w:eastAsia="Calibri" w:hAnsi="Arial" w:cs="Arial"/>
          <w:sz w:val="22"/>
          <w:szCs w:val="20"/>
          <w:lang w:val="bg-BG"/>
        </w:rPr>
        <w:t xml:space="preserve"> са в съответствие с посочения медицински стандарт.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proofErr w:type="spellStart"/>
      <w:r w:rsidRPr="00300D22">
        <w:rPr>
          <w:szCs w:val="22"/>
        </w:rPr>
        <w:t>извънболнична</w:t>
      </w:r>
      <w:proofErr w:type="spellEnd"/>
      <w:r w:rsidRPr="00300D22">
        <w:rPr>
          <w:szCs w:val="22"/>
        </w:rPr>
        <w:t xml:space="preserve">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8F4802" w:rsidRDefault="008F4802" w:rsidP="001000C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Pr="007115B4" w:rsidRDefault="001000CB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 w:rsidRPr="00E53B52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 xml:space="preserve">4. Рентгенов апарат за </w:t>
            </w:r>
            <w:proofErr w:type="spellStart"/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>скопия</w:t>
            </w:r>
            <w:proofErr w:type="spellEnd"/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 xml:space="preserve"> и </w:t>
            </w:r>
            <w:proofErr w:type="spellStart"/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>графия</w:t>
            </w:r>
            <w:proofErr w:type="spellEnd"/>
          </w:p>
        </w:tc>
      </w:tr>
      <w:tr w:rsidR="001000CB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E53B52">
              <w:rPr>
                <w:rFonts w:ascii="Arial" w:hAnsi="Arial"/>
                <w:sz w:val="20"/>
                <w:szCs w:val="20"/>
                <w:lang w:val="bg-BG"/>
              </w:rPr>
              <w:t>5. ОАИЛ/КАИЛ</w:t>
            </w:r>
          </w:p>
        </w:tc>
      </w:tr>
    </w:tbl>
    <w:p w:rsidR="001000CB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1000CB" w:rsidRPr="009173ED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300D22">
        <w:rPr>
          <w:noProof/>
        </w:rPr>
        <w:t xml:space="preserve"> </w:t>
      </w:r>
      <w:r w:rsidRPr="00DB27E6">
        <w:rPr>
          <w:noProof/>
        </w:rPr>
        <w:t>и има договор с НЗОК.</w:t>
      </w:r>
    </w:p>
    <w:p w:rsidR="008F4802" w:rsidRPr="00DB27E6" w:rsidRDefault="008F4802" w:rsidP="001000CB">
      <w:pPr>
        <w:pStyle w:val="Body"/>
        <w:keepNext/>
        <w:keepLines/>
        <w:spacing w:before="0" w:line="240" w:lineRule="auto"/>
        <w:ind w:firstLine="0"/>
        <w:rPr>
          <w:noProof/>
        </w:rPr>
      </w:pPr>
    </w:p>
    <w:tbl>
      <w:tblPr>
        <w:tblW w:w="0" w:type="auto"/>
        <w:jc w:val="center"/>
        <w:tblInd w:w="-4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0"/>
      </w:tblGrid>
      <w:tr w:rsidR="001000CB" w:rsidTr="00080857">
        <w:trPr>
          <w:jc w:val="center"/>
        </w:trPr>
        <w:tc>
          <w:tcPr>
            <w:tcW w:w="9330" w:type="dxa"/>
            <w:vAlign w:val="center"/>
          </w:tcPr>
          <w:p w:rsidR="001000CB" w:rsidRPr="00E53B52" w:rsidRDefault="001000CB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3B52">
              <w:rPr>
                <w:rFonts w:ascii="Arial" w:hAnsi="Arial" w:cs="Arial"/>
                <w:b/>
                <w:noProof/>
                <w:sz w:val="20"/>
                <w:szCs w:val="20"/>
              </w:rPr>
              <w:lastRenderedPageBreak/>
              <w:t>Задължително звено</w:t>
            </w:r>
            <w:r w:rsidRPr="00E53B52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E53B52">
              <w:rPr>
                <w:rFonts w:ascii="Arial" w:hAnsi="Arial"/>
                <w:b/>
                <w:noProof/>
                <w:sz w:val="20"/>
              </w:rPr>
              <w:t xml:space="preserve"> медицинска апаратура</w:t>
            </w:r>
          </w:p>
        </w:tc>
      </w:tr>
      <w:tr w:rsidR="001000CB" w:rsidTr="00080857">
        <w:trPr>
          <w:jc w:val="center"/>
        </w:trPr>
        <w:tc>
          <w:tcPr>
            <w:tcW w:w="9330" w:type="dxa"/>
            <w:vAlign w:val="center"/>
          </w:tcPr>
          <w:p w:rsidR="001000CB" w:rsidRPr="00E53B52" w:rsidRDefault="001000CB" w:rsidP="00080857">
            <w:pPr>
              <w:keepNext/>
              <w:keepLines/>
              <w:tabs>
                <w:tab w:val="left" w:pos="0"/>
                <w:tab w:val="left" w:pos="201"/>
              </w:tabs>
              <w:ind w:left="201" w:hanging="201"/>
              <w:rPr>
                <w:rFonts w:ascii="Arial" w:hAnsi="Arial"/>
                <w:sz w:val="20"/>
                <w:szCs w:val="20"/>
                <w:lang w:val="en-US"/>
              </w:rPr>
            </w:pPr>
            <w:r w:rsidRPr="00E53B52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1000CB" w:rsidRPr="00472436" w:rsidTr="00080857">
        <w:trPr>
          <w:jc w:val="center"/>
        </w:trPr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E53B52">
              <w:rPr>
                <w:rFonts w:ascii="Arial" w:hAnsi="Arial"/>
                <w:sz w:val="20"/>
                <w:szCs w:val="20"/>
                <w:lang w:val="ru-RU"/>
              </w:rPr>
              <w:t xml:space="preserve">2. Лаборатория (отделение) по </w:t>
            </w:r>
            <w:proofErr w:type="spellStart"/>
            <w:r w:rsidRPr="00E53B52">
              <w:rPr>
                <w:rFonts w:ascii="Arial" w:hAnsi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E53B52">
              <w:rPr>
                <w:rFonts w:ascii="Arial" w:hAnsi="Arial"/>
                <w:sz w:val="20"/>
                <w:szCs w:val="20"/>
                <w:lang w:val="ru-RU"/>
              </w:rPr>
              <w:t xml:space="preserve"> патология</w:t>
            </w:r>
          </w:p>
        </w:tc>
      </w:tr>
      <w:tr w:rsidR="001000CB" w:rsidRPr="00472436" w:rsidTr="00080857">
        <w:trPr>
          <w:jc w:val="center"/>
        </w:trPr>
        <w:tc>
          <w:tcPr>
            <w:tcW w:w="9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CB" w:rsidRPr="00E53B52" w:rsidRDefault="001000CB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E53B52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E53B52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E53B52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E53B52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E53B52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E53B52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E53B52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1000CB" w:rsidRDefault="001000CB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8F4802" w:rsidRDefault="008F4802" w:rsidP="001000C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3</w:t>
      </w:r>
      <w:r>
        <w:rPr>
          <w:b/>
          <w:noProof/>
          <w:szCs w:val="22"/>
        </w:rPr>
        <w:t xml:space="preserve"> </w:t>
      </w:r>
      <w:r>
        <w:rPr>
          <w:b/>
        </w:rPr>
        <w:t>НЕОБХОДИМИ СПЕЦИАЛИСТИ ЗА ИЗПЪЛНЕНИЕ НА АМБУЛАТОРНАТА ПРОЦЕДУРА</w:t>
      </w:r>
      <w:r>
        <w:rPr>
          <w:b/>
          <w:noProof/>
          <w:szCs w:val="22"/>
        </w:rPr>
        <w:t>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1000CB" w:rsidRPr="00E53B52" w:rsidRDefault="001000CB" w:rsidP="001000CB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E53B52">
        <w:rPr>
          <w:rFonts w:ascii="Arial" w:hAnsi="Arial" w:cs="Arial"/>
          <w:sz w:val="22"/>
          <w:szCs w:val="22"/>
          <w:lang w:val="ru-RU"/>
        </w:rPr>
        <w:t>-</w:t>
      </w:r>
      <w:r w:rsidRPr="00E53B52">
        <w:rPr>
          <w:rFonts w:ascii="Arial" w:hAnsi="Arial" w:cs="Arial"/>
          <w:sz w:val="22"/>
          <w:szCs w:val="22"/>
          <w:lang w:val="ru-RU"/>
        </w:rPr>
        <w:tab/>
      </w:r>
      <w:r w:rsidRPr="00E53B52">
        <w:rPr>
          <w:rFonts w:ascii="Arial" w:hAnsi="Arial" w:cs="Arial"/>
          <w:sz w:val="22"/>
          <w:szCs w:val="22"/>
          <w:lang w:val="bg-BG"/>
        </w:rPr>
        <w:t xml:space="preserve">лекари със специалност </w:t>
      </w:r>
      <w:proofErr w:type="gramStart"/>
      <w:r w:rsidRPr="00E53B52">
        <w:rPr>
          <w:rFonts w:ascii="Arial" w:hAnsi="Arial" w:cs="Arial"/>
          <w:sz w:val="22"/>
          <w:szCs w:val="22"/>
          <w:lang w:val="bg-BG"/>
        </w:rPr>
        <w:t>по</w:t>
      </w:r>
      <w:proofErr w:type="gramEnd"/>
      <w:r w:rsidRPr="00E53B52">
        <w:rPr>
          <w:rFonts w:ascii="Arial" w:hAnsi="Arial" w:cs="Arial"/>
          <w:sz w:val="22"/>
          <w:szCs w:val="22"/>
          <w:lang w:val="bg-BG"/>
        </w:rPr>
        <w:t xml:space="preserve"> ортопедия и травматология – </w:t>
      </w:r>
      <w:r w:rsidRPr="00E53B5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3B52">
        <w:rPr>
          <w:rFonts w:ascii="Arial" w:hAnsi="Arial" w:cs="Arial"/>
          <w:sz w:val="22"/>
          <w:szCs w:val="22"/>
        </w:rPr>
        <w:t>двама</w:t>
      </w:r>
      <w:proofErr w:type="spellEnd"/>
      <w:r w:rsidRPr="00E53B52">
        <w:rPr>
          <w:rFonts w:ascii="Arial" w:hAnsi="Arial" w:cs="Arial"/>
          <w:sz w:val="22"/>
          <w:szCs w:val="22"/>
        </w:rPr>
        <w:t>;</w:t>
      </w:r>
    </w:p>
    <w:p w:rsidR="001000CB" w:rsidRPr="00E53B52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E53B52">
        <w:rPr>
          <w:rFonts w:cs="Arial"/>
          <w:szCs w:val="22"/>
        </w:rPr>
        <w:t>-</w:t>
      </w:r>
      <w:r w:rsidRPr="00E53B52">
        <w:rPr>
          <w:rFonts w:cs="Arial"/>
          <w:szCs w:val="22"/>
        </w:rPr>
        <w:tab/>
        <w:t>лекари със специалност по анестезиология и интензивно лечение;</w:t>
      </w:r>
    </w:p>
    <w:p w:rsidR="001000CB" w:rsidRPr="00E53B52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E53B52">
        <w:rPr>
          <w:rFonts w:cs="Arial"/>
          <w:szCs w:val="22"/>
        </w:rPr>
        <w:t>-</w:t>
      </w:r>
      <w:r w:rsidRPr="00E53B52">
        <w:rPr>
          <w:rFonts w:cs="Arial"/>
          <w:szCs w:val="22"/>
        </w:rPr>
        <w:tab/>
        <w:t xml:space="preserve">лекар със специалност по образна диагностика; </w:t>
      </w:r>
    </w:p>
    <w:p w:rsidR="001000CB" w:rsidRPr="00E53B52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E53B52">
        <w:rPr>
          <w:rFonts w:cs="Arial"/>
          <w:szCs w:val="22"/>
        </w:rPr>
        <w:t>- лекар със специалност по клинична лаборатория.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1000CB" w:rsidRDefault="001000CB" w:rsidP="001000CB">
      <w:pPr>
        <w:keepNext/>
        <w:keepLines/>
        <w:tabs>
          <w:tab w:val="left" w:pos="142"/>
          <w:tab w:val="left" w:pos="567"/>
          <w:tab w:val="left" w:pos="709"/>
        </w:tabs>
        <w:ind w:firstLine="426"/>
        <w:jc w:val="both"/>
        <w:rPr>
          <w:rFonts w:ascii="Arial" w:hAnsi="Arial" w:cs="Arial"/>
          <w:sz w:val="22"/>
          <w:szCs w:val="22"/>
          <w:lang w:val="bg-BG"/>
        </w:rPr>
      </w:pPr>
      <w:r w:rsidRPr="00EA23C5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- </w:t>
      </w:r>
      <w:r>
        <w:rPr>
          <w:rFonts w:ascii="Arial" w:hAnsi="Arial" w:cs="Arial"/>
          <w:sz w:val="22"/>
          <w:szCs w:val="22"/>
          <w:lang w:val="bg-BG"/>
        </w:rPr>
        <w:t xml:space="preserve">лекари </w:t>
      </w:r>
      <w:r w:rsidRPr="00AE4C37">
        <w:rPr>
          <w:rFonts w:ascii="Arial" w:hAnsi="Arial" w:cs="Arial"/>
          <w:sz w:val="22"/>
          <w:szCs w:val="22"/>
          <w:lang w:val="bg-BG"/>
        </w:rPr>
        <w:t xml:space="preserve">със специалност </w:t>
      </w:r>
      <w:proofErr w:type="gramStart"/>
      <w:r>
        <w:rPr>
          <w:rFonts w:ascii="Arial" w:hAnsi="Arial" w:cs="Arial"/>
          <w:sz w:val="22"/>
          <w:szCs w:val="22"/>
          <w:lang w:val="bg-BG"/>
        </w:rPr>
        <w:t>по</w:t>
      </w:r>
      <w:proofErr w:type="gramEnd"/>
      <w:r>
        <w:rPr>
          <w:rFonts w:ascii="Arial" w:hAnsi="Arial" w:cs="Arial"/>
          <w:sz w:val="22"/>
          <w:szCs w:val="22"/>
          <w:lang w:val="bg-BG"/>
        </w:rPr>
        <w:t xml:space="preserve"> о</w:t>
      </w:r>
      <w:r w:rsidRPr="00AE4C37">
        <w:rPr>
          <w:rFonts w:ascii="Arial" w:hAnsi="Arial" w:cs="Arial"/>
          <w:sz w:val="22"/>
          <w:szCs w:val="22"/>
          <w:lang w:val="bg-BG"/>
        </w:rPr>
        <w:t>ртопедия и травматология</w:t>
      </w:r>
      <w:r>
        <w:rPr>
          <w:rFonts w:ascii="Arial" w:hAnsi="Arial" w:cs="Arial"/>
          <w:sz w:val="22"/>
          <w:szCs w:val="22"/>
          <w:lang w:val="bg-BG"/>
        </w:rPr>
        <w:t xml:space="preserve"> – </w:t>
      </w:r>
      <w:proofErr w:type="spellStart"/>
      <w:r w:rsidRPr="004C3A54">
        <w:rPr>
          <w:rFonts w:ascii="Arial" w:hAnsi="Arial" w:cs="Arial"/>
          <w:sz w:val="22"/>
          <w:szCs w:val="22"/>
        </w:rPr>
        <w:t>двама</w:t>
      </w:r>
      <w:proofErr w:type="spellEnd"/>
      <w:r w:rsidRPr="004C3A54">
        <w:rPr>
          <w:rFonts w:ascii="Arial" w:hAnsi="Arial" w:cs="Arial"/>
          <w:sz w:val="22"/>
          <w:szCs w:val="22"/>
        </w:rPr>
        <w:t>;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>-</w:t>
      </w:r>
      <w:r w:rsidRPr="000A5776">
        <w:rPr>
          <w:rFonts w:cs="Arial"/>
          <w:szCs w:val="22"/>
        </w:rPr>
        <w:tab/>
        <w:t xml:space="preserve">лекари със специалност по анестезиология и интензивно лечение; 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 xml:space="preserve">- лекар със специалност по детски болести; </w:t>
      </w:r>
    </w:p>
    <w:p w:rsidR="001000CB" w:rsidRPr="000A5776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0A5776">
        <w:rPr>
          <w:rFonts w:cs="Arial"/>
          <w:szCs w:val="22"/>
        </w:rPr>
        <w:t xml:space="preserve">- лекар със специалност по образна диагностика; 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</w:pPr>
      <w:r w:rsidRPr="000A5776">
        <w:rPr>
          <w:rFonts w:cs="Arial"/>
          <w:szCs w:val="22"/>
        </w:rPr>
        <w:t>- лекар със специалност по клинична</w:t>
      </w:r>
      <w:r>
        <w:t xml:space="preserve"> лаборатория.</w:t>
      </w:r>
    </w:p>
    <w:p w:rsidR="001000CB" w:rsidRDefault="001000CB" w:rsidP="001000CB">
      <w:pPr>
        <w:keepNext/>
        <w:keepLines/>
        <w:jc w:val="both"/>
        <w:rPr>
          <w:rFonts w:ascii="Arial" w:eastAsia="Calibri" w:hAnsi="Arial" w:cs="Arial"/>
          <w:b/>
          <w:noProof/>
          <w:sz w:val="22"/>
          <w:szCs w:val="22"/>
          <w:lang w:val="bg-BG"/>
        </w:rPr>
      </w:pPr>
    </w:p>
    <w:p w:rsidR="001000CB" w:rsidRPr="0025234A" w:rsidRDefault="001000CB" w:rsidP="001000CB">
      <w:pPr>
        <w:keepNext/>
        <w:keepLines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25234A">
        <w:rPr>
          <w:rFonts w:ascii="Arial" w:eastAsia="Calibri" w:hAnsi="Arial" w:cs="Arial"/>
          <w:b/>
          <w:noProof/>
          <w:sz w:val="22"/>
          <w:szCs w:val="22"/>
          <w:lang w:val="bg-BG"/>
        </w:rPr>
        <w:t xml:space="preserve">4. ДОПЪЛНИТЕЛНИ ИЗИСКВАНИЯ ЗА ИЗПЪЛНЕНИЕ НА АЛГОРИТЪМА НА </w:t>
      </w:r>
      <w:r w:rsidRPr="00F34AB1">
        <w:rPr>
          <w:rFonts w:ascii="Arial" w:hAnsi="Arial"/>
          <w:b/>
          <w:noProof/>
          <w:sz w:val="22"/>
          <w:lang w:val="bg-BG"/>
        </w:rPr>
        <w:t>АМБУЛАТОРНАТА ПРОЦЕДУРА:</w:t>
      </w:r>
    </w:p>
    <w:p w:rsidR="001000CB" w:rsidRPr="00840103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40103">
        <w:rPr>
          <w:rFonts w:ascii="Arial" w:hAnsi="Arial" w:cs="Arial"/>
          <w:sz w:val="22"/>
          <w:szCs w:val="22"/>
          <w:lang w:val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0E4092" w:rsidRDefault="000E4092" w:rsidP="000E4092">
      <w:pPr>
        <w:keepNext/>
        <w:keepLines/>
        <w:tabs>
          <w:tab w:val="left" w:pos="709"/>
          <w:tab w:val="left" w:pos="851"/>
          <w:tab w:val="left" w:pos="993"/>
        </w:tabs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0E4092">
        <w:rPr>
          <w:rFonts w:ascii="Arial" w:eastAsia="Calibri" w:hAnsi="Arial" w:cs="Arial"/>
          <w:sz w:val="22"/>
          <w:szCs w:val="22"/>
          <w:lang w:val="bg-BG"/>
        </w:rPr>
        <w:t xml:space="preserve">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дейности: </w:t>
      </w:r>
      <w:proofErr w:type="spellStart"/>
      <w:r w:rsidRPr="000E4092">
        <w:rPr>
          <w:rFonts w:ascii="Arial" w:eastAsia="Calibri" w:hAnsi="Arial" w:cs="Arial"/>
          <w:sz w:val="22"/>
          <w:szCs w:val="22"/>
          <w:lang w:val="bg-BG"/>
        </w:rPr>
        <w:t>ехографско</w:t>
      </w:r>
      <w:proofErr w:type="spellEnd"/>
      <w:r w:rsidRPr="000E4092">
        <w:rPr>
          <w:rFonts w:ascii="Arial" w:eastAsia="Calibri" w:hAnsi="Arial" w:cs="Arial"/>
          <w:sz w:val="22"/>
          <w:szCs w:val="22"/>
          <w:lang w:val="bg-BG"/>
        </w:rPr>
        <w:t xml:space="preserve"> изследване на стави при деца и възрастни, </w:t>
      </w:r>
      <w:proofErr w:type="spellStart"/>
      <w:r w:rsidRPr="000E4092">
        <w:rPr>
          <w:rFonts w:ascii="Arial" w:eastAsia="Calibri" w:hAnsi="Arial" w:cs="Arial"/>
          <w:sz w:val="22"/>
          <w:szCs w:val="22"/>
          <w:lang w:val="bg-BG"/>
        </w:rPr>
        <w:t>артроскопия</w:t>
      </w:r>
      <w:proofErr w:type="spellEnd"/>
      <w:r w:rsidRPr="000E4092">
        <w:rPr>
          <w:rFonts w:ascii="Arial" w:eastAsia="Calibri" w:hAnsi="Arial" w:cs="Arial"/>
          <w:sz w:val="22"/>
          <w:szCs w:val="22"/>
          <w:lang w:val="bg-BG"/>
        </w:rPr>
        <w:t xml:space="preserve"> на стави, </w:t>
      </w:r>
      <w:proofErr w:type="spellStart"/>
      <w:r w:rsidRPr="000E4092">
        <w:rPr>
          <w:rFonts w:ascii="Arial" w:eastAsia="Calibri" w:hAnsi="Arial" w:cs="Arial"/>
          <w:sz w:val="22"/>
          <w:szCs w:val="22"/>
          <w:lang w:val="bg-BG"/>
        </w:rPr>
        <w:t>ендопротезиране</w:t>
      </w:r>
      <w:proofErr w:type="spellEnd"/>
      <w:r w:rsidRPr="000E4092">
        <w:rPr>
          <w:rFonts w:ascii="Arial" w:eastAsia="Calibri" w:hAnsi="Arial" w:cs="Arial"/>
          <w:sz w:val="22"/>
          <w:szCs w:val="22"/>
          <w:lang w:val="bg-BG"/>
        </w:rPr>
        <w:t xml:space="preserve"> на стави, хирургия на ръка (анатомична), трябва да притежават съответния за конкретно заявената за изпълнение високоспециализирана дейност по тази </w:t>
      </w:r>
      <w:proofErr w:type="spellStart"/>
      <w:r>
        <w:rPr>
          <w:rFonts w:ascii="Arial" w:eastAsia="Calibri" w:hAnsi="Arial" w:cs="Arial"/>
          <w:sz w:val="22"/>
          <w:szCs w:val="22"/>
          <w:lang w:val="bg-BG"/>
        </w:rPr>
        <w:t>АПр</w:t>
      </w:r>
      <w:proofErr w:type="spellEnd"/>
      <w:r w:rsidRPr="000E4092">
        <w:rPr>
          <w:rFonts w:ascii="Arial" w:eastAsia="Calibri" w:hAnsi="Arial" w:cs="Arial"/>
          <w:sz w:val="22"/>
          <w:szCs w:val="22"/>
          <w:lang w:val="bg-BG"/>
        </w:rPr>
        <w:t xml:space="preserve"> документ за придобита допълнителна квалификация.</w:t>
      </w:r>
    </w:p>
    <w:p w:rsidR="000E4092" w:rsidRPr="000E4092" w:rsidRDefault="000E4092" w:rsidP="000E4092">
      <w:pPr>
        <w:keepNext/>
        <w:keepLines/>
        <w:tabs>
          <w:tab w:val="left" w:pos="709"/>
          <w:tab w:val="left" w:pos="851"/>
          <w:tab w:val="left" w:pos="993"/>
        </w:tabs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</w:p>
    <w:p w:rsidR="001000CB" w:rsidRPr="00F34AB1" w:rsidRDefault="001000CB" w:rsidP="001000CB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F34AB1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 w:rsidRPr="00F34AB1"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  АМБУЛАТОРНАТА ПРОЦЕДУРА</w:t>
      </w:r>
      <w:r w:rsidRPr="00F34AB1">
        <w:rPr>
          <w:rFonts w:ascii="Arial" w:hAnsi="Arial"/>
          <w:b/>
          <w:sz w:val="22"/>
          <w:szCs w:val="20"/>
          <w:lang w:val="bg-BG"/>
        </w:rPr>
        <w:t>:</w:t>
      </w:r>
    </w:p>
    <w:p w:rsidR="001000CB" w:rsidRPr="005431CC" w:rsidRDefault="001000CB" w:rsidP="001000CB">
      <w:pPr>
        <w:keepNext/>
        <w:keepLines/>
        <w:rPr>
          <w:rFonts w:ascii="Arial" w:hAnsi="Arial"/>
          <w:b/>
          <w:noProof/>
          <w:sz w:val="22"/>
          <w:lang w:val="bg-BG"/>
        </w:rPr>
      </w:pPr>
      <w:r w:rsidRPr="005431CC">
        <w:rPr>
          <w:rFonts w:ascii="Arial" w:hAnsi="Arial"/>
          <w:b/>
          <w:noProof/>
          <w:sz w:val="22"/>
          <w:lang w:val="bg-BG"/>
        </w:rPr>
        <w:t xml:space="preserve">1. </w:t>
      </w:r>
      <w:r w:rsidRPr="00F34AB1">
        <w:rPr>
          <w:rFonts w:ascii="Arial" w:hAnsi="Arial"/>
          <w:b/>
          <w:noProof/>
          <w:sz w:val="22"/>
          <w:lang w:val="bg-BG"/>
        </w:rPr>
        <w:t>ДИАГНОСТИЧНИ, ЛЕЧЕБНИ И РЕХАБИЛИТАЦИОННИ ДЕЙНОСТИ И УСЛУГИ В ХОДА НА АМБУЛАТОРНАТА ПРОЦЕДУРА: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на горна част на ръка и рамо;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 xml:space="preserve">напасване на протеза на долна част на ръка и </w:t>
      </w:r>
      <w:proofErr w:type="spellStart"/>
      <w:r w:rsidRPr="005431CC">
        <w:rPr>
          <w:rFonts w:ascii="Arial" w:hAnsi="Arial"/>
          <w:sz w:val="22"/>
          <w:szCs w:val="20"/>
          <w:lang w:val="bg-BG" w:eastAsia="bg-BG"/>
        </w:rPr>
        <w:t>дистално</w:t>
      </w:r>
      <w:proofErr w:type="spellEnd"/>
      <w:r w:rsidRPr="005431CC">
        <w:rPr>
          <w:rFonts w:ascii="Arial" w:hAnsi="Arial"/>
          <w:sz w:val="22"/>
          <w:szCs w:val="20"/>
          <w:lang w:val="bg-BG" w:eastAsia="bg-BG"/>
        </w:rPr>
        <w:t xml:space="preserve"> от китка;</w:t>
      </w:r>
    </w:p>
    <w:p w:rsidR="001000CB" w:rsidRPr="005431CC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над коляното;</w:t>
      </w:r>
    </w:p>
    <w:p w:rsidR="001000CB" w:rsidRPr="00116096" w:rsidRDefault="001000CB" w:rsidP="001000CB">
      <w:pPr>
        <w:keepNext/>
        <w:keepLines/>
        <w:numPr>
          <w:ilvl w:val="0"/>
          <w:numId w:val="2"/>
        </w:numPr>
        <w:ind w:left="851" w:hanging="142"/>
        <w:rPr>
          <w:rFonts w:ascii="Arial" w:hAnsi="Arial"/>
          <w:sz w:val="22"/>
          <w:szCs w:val="20"/>
          <w:lang w:val="bg-BG" w:eastAsia="bg-BG"/>
        </w:rPr>
      </w:pPr>
      <w:r w:rsidRPr="005431CC">
        <w:rPr>
          <w:rFonts w:ascii="Arial" w:hAnsi="Arial"/>
          <w:sz w:val="22"/>
          <w:szCs w:val="20"/>
          <w:lang w:val="bg-BG" w:eastAsia="bg-BG"/>
        </w:rPr>
        <w:t>напасване на протеза под коляното.</w:t>
      </w:r>
    </w:p>
    <w:p w:rsidR="001000CB" w:rsidRPr="00116096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</w:rPr>
      </w:pPr>
    </w:p>
    <w:p w:rsidR="001000CB" w:rsidRPr="008A4AE1" w:rsidRDefault="001000CB" w:rsidP="001000CB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  <w:r>
        <w:rPr>
          <w:b/>
          <w:snapToGrid w:val="0"/>
        </w:rPr>
        <w:t>2</w:t>
      </w:r>
      <w:r w:rsidRPr="008A4AE1">
        <w:rPr>
          <w:b/>
          <w:snapToGrid w:val="0"/>
        </w:rPr>
        <w:t xml:space="preserve">. ДИАГНОСТИЧНО – ЛЕЧЕБЕН АЛГОРИТЪМ. </w:t>
      </w:r>
    </w:p>
    <w:p w:rsidR="001000CB" w:rsidRPr="000E0090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  <w:r w:rsidRPr="008A4AE1">
        <w:rPr>
          <w:b/>
          <w:noProof/>
        </w:rPr>
        <w:t>ДИАГНОСТИЧНО – ЛЕЧЕБНИЯТ АЛГОРИТЪМ В ПОСОЧЕНИТЕ ВАРИАЦИИ И ВЪЗМОЖНОСТИ Е ЗАДЪЛЖИТЕЛЕН ЗА ИЗПЪЛНЕНИЕ И ОПРЕДЕЛЯ ПАКЕТА ОТ БОЛНИЧНИ ЗДРАВНИ ДЕЙНОСТИ, КОИТО СЕ З</w:t>
      </w:r>
      <w:r>
        <w:rPr>
          <w:b/>
          <w:noProof/>
        </w:rPr>
        <w:t>АПЛАЩАТ ПО ТАЗИ АМБУЛАТОРНА ПРОЦЕДУРА</w:t>
      </w:r>
    </w:p>
    <w:p w:rsidR="001000CB" w:rsidRDefault="001000CB" w:rsidP="001000CB">
      <w:pPr>
        <w:pStyle w:val="BodyChar"/>
        <w:keepNext/>
        <w:keepLines/>
        <w:spacing w:before="0" w:line="240" w:lineRule="auto"/>
      </w:pPr>
      <w:r>
        <w:t>Необходими условия за напасване на протезата: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Чуканът трябва да бъде спокоен без наличие на рани, инфекции, отток и други патологични изменения;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Препоръчителна е възможността за колаборация между ортопед, физиотерапевт-кинезитерапевт и ортопедичен техник;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lastRenderedPageBreak/>
        <w:t>След напасване на протезата при добро приемане от пациента се провежда  обучение в ползването на протезата;</w:t>
      </w:r>
    </w:p>
    <w:p w:rsidR="001000CB" w:rsidRDefault="001000CB" w:rsidP="001000CB">
      <w:pPr>
        <w:pStyle w:val="BodyChar"/>
        <w:keepNext/>
        <w:keepLines/>
        <w:numPr>
          <w:ilvl w:val="0"/>
          <w:numId w:val="1"/>
        </w:numPr>
        <w:spacing w:before="0" w:line="240" w:lineRule="auto"/>
        <w:ind w:left="0" w:firstLine="567"/>
      </w:pPr>
      <w:r>
        <w:t>При поява на проблемни участъци от чукана, предизвикани от  ползването на протезата, се провежда консултация с ортопед, при необходимост и с ортопедичен техник за корекция на протезата.</w:t>
      </w: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  <w:noProof/>
          <w:lang w:val="en-US"/>
        </w:rPr>
      </w:pP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  <w:noProof/>
        </w:rPr>
      </w:pPr>
      <w:r w:rsidRPr="008F116D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000CB" w:rsidRPr="008F116D" w:rsidRDefault="001000CB" w:rsidP="001000CB">
      <w:pPr>
        <w:pStyle w:val="Body"/>
        <w:keepNext/>
        <w:keepLines/>
        <w:spacing w:before="0" w:line="240" w:lineRule="auto"/>
        <w:rPr>
          <w:b/>
          <w:bCs/>
        </w:rPr>
      </w:pPr>
      <w:r w:rsidRPr="008F116D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000CB" w:rsidRDefault="001000CB" w:rsidP="001000CB">
      <w:pPr>
        <w:pStyle w:val="BodyChar"/>
        <w:keepNext/>
        <w:keepLines/>
        <w:spacing w:before="0" w:line="240" w:lineRule="auto"/>
      </w:pPr>
    </w:p>
    <w:p w:rsidR="001000CB" w:rsidRDefault="001000CB" w:rsidP="001000CB">
      <w:pPr>
        <w:pStyle w:val="Body"/>
        <w:keepNext/>
        <w:keepLines/>
        <w:tabs>
          <w:tab w:val="left" w:pos="284"/>
        </w:tabs>
        <w:spacing w:before="0" w:line="240" w:lineRule="auto"/>
        <w:ind w:firstLine="0"/>
        <w:rPr>
          <w:rFonts w:cs="Arial"/>
          <w:b/>
        </w:rPr>
      </w:pPr>
      <w:r>
        <w:rPr>
          <w:b/>
          <w:noProof/>
        </w:rPr>
        <w:t>3</w:t>
      </w:r>
      <w:r w:rsidRPr="005431CC">
        <w:rPr>
          <w:b/>
          <w:noProof/>
        </w:rPr>
        <w:t>.</w:t>
      </w:r>
      <w:r>
        <w:rPr>
          <w:rFonts w:cs="Arial"/>
          <w:b/>
        </w:rPr>
        <w:t xml:space="preserve"> </w:t>
      </w:r>
      <w:r w:rsidRPr="00560F90">
        <w:rPr>
          <w:b/>
        </w:rPr>
        <w:t>ПРИКЛЮЧВАНЕ НА АМБУЛАТОРНАТА ПРОЦЕДУРА И ОПРЕДЕЛЯНЕ НА ПОСЛЕДВАЩ РЕЖИМ.</w:t>
      </w:r>
    </w:p>
    <w:p w:rsidR="001000CB" w:rsidRPr="00104B7C" w:rsidRDefault="001000CB" w:rsidP="001000CB">
      <w:pPr>
        <w:keepNext/>
        <w:keepLines/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>
        <w:rPr>
          <w:rFonts w:ascii="Arial" w:hAnsi="Arial" w:cs="Arial"/>
          <w:b/>
          <w:sz w:val="22"/>
          <w:szCs w:val="22"/>
          <w:lang w:val="bg-BG" w:eastAsia="bg-BG"/>
        </w:rPr>
        <w:tab/>
      </w:r>
      <w:r w:rsidRPr="00104B7C">
        <w:rPr>
          <w:rFonts w:ascii="Arial" w:hAnsi="Arial" w:cs="Arial"/>
          <w:b/>
          <w:sz w:val="22"/>
          <w:szCs w:val="22"/>
          <w:lang w:val="bg-BG" w:eastAsia="bg-BG"/>
        </w:rPr>
        <w:t xml:space="preserve">Диагностични, лечебни и </w:t>
      </w:r>
      <w:proofErr w:type="spellStart"/>
      <w:r w:rsidRPr="00104B7C">
        <w:rPr>
          <w:rFonts w:ascii="Arial" w:hAnsi="Arial" w:cs="Arial"/>
          <w:b/>
          <w:sz w:val="22"/>
          <w:szCs w:val="22"/>
          <w:lang w:val="bg-BG" w:eastAsia="bg-BG"/>
        </w:rPr>
        <w:t>рехабилитационни</w:t>
      </w:r>
      <w:proofErr w:type="spellEnd"/>
      <w:r w:rsidRPr="00104B7C">
        <w:rPr>
          <w:rFonts w:ascii="Arial" w:hAnsi="Arial" w:cs="Arial"/>
          <w:b/>
          <w:sz w:val="22"/>
          <w:szCs w:val="22"/>
          <w:lang w:val="bg-BG" w:eastAsia="bg-BG"/>
        </w:rPr>
        <w:t xml:space="preserve"> дейности и услуги при приключване на амбулаторната процедура:</w:t>
      </w:r>
    </w:p>
    <w:p w:rsidR="001000CB" w:rsidRPr="005431CC" w:rsidRDefault="001000CB" w:rsidP="001000CB">
      <w:pPr>
        <w:keepNext/>
        <w:keepLines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ab/>
        <w:t xml:space="preserve">Оценка на потребностите от диагностични, лечебни и </w:t>
      </w:r>
      <w:proofErr w:type="spellStart"/>
      <w:r w:rsidRPr="005431CC">
        <w:rPr>
          <w:rFonts w:ascii="Arial" w:hAnsi="Arial" w:cs="Arial"/>
          <w:sz w:val="22"/>
          <w:szCs w:val="20"/>
          <w:lang w:val="bg-BG"/>
        </w:rPr>
        <w:t>рехабилитационни</w:t>
      </w:r>
      <w:proofErr w:type="spellEnd"/>
      <w:r w:rsidRPr="005431CC">
        <w:rPr>
          <w:rFonts w:ascii="Arial" w:hAnsi="Arial" w:cs="Arial"/>
          <w:sz w:val="22"/>
          <w:szCs w:val="20"/>
          <w:lang w:val="bg-BG"/>
        </w:rPr>
        <w:t xml:space="preserve"> дейности и услуги след приключване на процедурата, в т.ч.:</w:t>
      </w:r>
    </w:p>
    <w:p w:rsidR="001000CB" w:rsidRPr="005431CC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>-  контролни прегледи в лечебното заведение;</w:t>
      </w:r>
    </w:p>
    <w:p w:rsidR="001000CB" w:rsidRPr="005431CC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 xml:space="preserve">-  </w:t>
      </w:r>
      <w:proofErr w:type="spellStart"/>
      <w:r w:rsidRPr="005431CC">
        <w:rPr>
          <w:rFonts w:ascii="Arial" w:hAnsi="Arial" w:cs="Arial"/>
          <w:sz w:val="22"/>
          <w:szCs w:val="20"/>
          <w:lang w:val="bg-BG"/>
        </w:rPr>
        <w:t>последващо</w:t>
      </w:r>
      <w:proofErr w:type="spellEnd"/>
      <w:r w:rsidRPr="005431CC">
        <w:rPr>
          <w:rFonts w:ascii="Arial" w:hAnsi="Arial" w:cs="Arial"/>
          <w:sz w:val="22"/>
          <w:szCs w:val="20"/>
          <w:lang w:val="bg-BG"/>
        </w:rPr>
        <w:t xml:space="preserve"> продължаване на лечението, в т.ч. в болнични условия;</w:t>
      </w:r>
    </w:p>
    <w:p w:rsidR="001000CB" w:rsidRPr="00116096" w:rsidRDefault="001000CB" w:rsidP="001000CB">
      <w:pPr>
        <w:keepNext/>
        <w:keepLines/>
        <w:ind w:firstLine="567"/>
        <w:jc w:val="both"/>
        <w:rPr>
          <w:rFonts w:ascii="Arial" w:hAnsi="Arial" w:cs="Arial"/>
          <w:sz w:val="22"/>
          <w:szCs w:val="20"/>
          <w:lang w:val="bg-BG"/>
        </w:rPr>
      </w:pPr>
      <w:r w:rsidRPr="005431CC">
        <w:rPr>
          <w:rFonts w:ascii="Arial" w:hAnsi="Arial" w:cs="Arial"/>
          <w:sz w:val="22"/>
          <w:szCs w:val="20"/>
          <w:lang w:val="bg-BG"/>
        </w:rPr>
        <w:t>-  рехабилитация.</w:t>
      </w:r>
    </w:p>
    <w:p w:rsidR="001000CB" w:rsidRDefault="001000CB" w:rsidP="001000CB">
      <w:pPr>
        <w:pStyle w:val="Body"/>
        <w:keepNext/>
        <w:keepLines/>
        <w:spacing w:before="0" w:line="240" w:lineRule="auto"/>
        <w:rPr>
          <w:b/>
          <w:snapToGrid w:val="0"/>
        </w:rPr>
      </w:pPr>
    </w:p>
    <w:p w:rsidR="001000CB" w:rsidRPr="00BD603B" w:rsidRDefault="001000CB" w:rsidP="001000CB">
      <w:pPr>
        <w:pStyle w:val="Body"/>
        <w:keepNext/>
        <w:keepLines/>
        <w:spacing w:before="0" w:line="240" w:lineRule="auto"/>
        <w:rPr>
          <w:b/>
          <w:snapToGrid w:val="0"/>
        </w:rPr>
      </w:pPr>
      <w:r w:rsidRPr="00BD603B">
        <w:rPr>
          <w:b/>
          <w:snapToGrid w:val="0"/>
        </w:rPr>
        <w:t>Довършване на лечебния процес и проследяване</w:t>
      </w:r>
    </w:p>
    <w:p w:rsidR="001000CB" w:rsidRPr="008A700F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A700F">
        <w:rPr>
          <w:rFonts w:cs="Arial"/>
        </w:rPr>
        <w:t xml:space="preserve">В цената на </w:t>
      </w:r>
      <w:r w:rsidRPr="008A700F">
        <w:rPr>
          <w:b/>
        </w:rPr>
        <w:t>амбулаторната процедура</w:t>
      </w:r>
      <w:r w:rsidRPr="008A700F">
        <w:rPr>
          <w:rFonts w:cs="Arial"/>
        </w:rPr>
        <w:t xml:space="preserve">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8A700F">
        <w:rPr>
          <w:rFonts w:cs="Arial"/>
        </w:rPr>
        <w:t>епикризата</w:t>
      </w:r>
      <w:proofErr w:type="spellEnd"/>
      <w:r w:rsidRPr="008A700F">
        <w:rPr>
          <w:rFonts w:cs="Arial"/>
        </w:rPr>
        <w:t xml:space="preserve">. </w:t>
      </w:r>
    </w:p>
    <w:p w:rsidR="001000CB" w:rsidRPr="008A700F" w:rsidRDefault="001000CB" w:rsidP="001000C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A700F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CB54F0"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</w:p>
    <w:p w:rsidR="001000CB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  <w:r>
        <w:rPr>
          <w:b/>
          <w:noProof/>
        </w:rPr>
        <w:t xml:space="preserve">НЗОК заплаща за проведени и отчетени до 10 броя процедури за едно ЗОЛ и не по-вече от два пъти годишно (не повече от 20 броя процедури годишно) само в случаите, когато е извършена оперативна корекция на чукана на крайника, налагаща ново напасване на протезата,  удостоверена с приложено копие на епикриза. </w:t>
      </w:r>
    </w:p>
    <w:p w:rsidR="001000CB" w:rsidRPr="006B2F74" w:rsidRDefault="001000CB" w:rsidP="001000CB">
      <w:pPr>
        <w:pStyle w:val="Body"/>
        <w:keepNext/>
        <w:keepLines/>
        <w:spacing w:before="0" w:line="240" w:lineRule="auto"/>
        <w:ind w:firstLine="540"/>
        <w:rPr>
          <w:b/>
          <w:noProof/>
        </w:rPr>
      </w:pPr>
    </w:p>
    <w:p w:rsidR="001000CB" w:rsidRPr="00CC1CD5" w:rsidRDefault="001000CB" w:rsidP="001000C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  <w:r>
        <w:rPr>
          <w:b/>
          <w:noProof/>
        </w:rPr>
        <w:t>4</w:t>
      </w:r>
      <w:r w:rsidRPr="00CC1CD5">
        <w:rPr>
          <w:b/>
          <w:noProof/>
        </w:rPr>
        <w:t>. МЕДИЦИНСКА ЕКСПЕРТИЗА НА РАБОТОСПОСОБНОСТТА</w:t>
      </w:r>
      <w:r w:rsidRPr="00CC1CD5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1000CB" w:rsidRPr="00171899" w:rsidRDefault="001000CB" w:rsidP="001000CB">
      <w:pPr>
        <w:keepNext/>
        <w:keepLines/>
        <w:ind w:firstLine="540"/>
        <w:jc w:val="both"/>
        <w:rPr>
          <w:rFonts w:ascii="Arial" w:hAnsi="Arial"/>
          <w:b/>
          <w:strike/>
          <w:snapToGrid w:val="0"/>
          <w:sz w:val="22"/>
          <w:szCs w:val="20"/>
          <w:lang w:val="ru-RU"/>
        </w:rPr>
      </w:pPr>
      <w:r>
        <w:rPr>
          <w:rFonts w:ascii="Arial" w:hAnsi="Arial"/>
          <w:b/>
          <w:strike/>
          <w:snapToGrid w:val="0"/>
          <w:sz w:val="22"/>
          <w:szCs w:val="20"/>
          <w:lang w:val="ru-RU"/>
        </w:rPr>
        <w:br w:type="page"/>
      </w:r>
    </w:p>
    <w:p w:rsidR="001000CB" w:rsidRPr="003E6024" w:rsidRDefault="001000CB" w:rsidP="001000CB">
      <w:pPr>
        <w:pStyle w:val="ime-razdel"/>
        <w:keepNext/>
        <w:keepLines/>
        <w:spacing w:before="0" w:after="0"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3E6024">
        <w:rPr>
          <w:rFonts w:cs="Arial"/>
          <w:noProof/>
          <w:szCs w:val="22"/>
          <w:lang w:val="ru-RU"/>
        </w:rPr>
        <w:lastRenderedPageBreak/>
        <w:t xml:space="preserve">ІІІ. </w:t>
      </w:r>
      <w:r w:rsidRPr="003E6024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1000CB" w:rsidRPr="003E6024" w:rsidRDefault="001000CB" w:rsidP="001000CB">
      <w:pPr>
        <w:keepNext/>
        <w:keepLines/>
        <w:rPr>
          <w:rFonts w:ascii="Arial" w:hAnsi="Arial" w:cs="Arial"/>
          <w:i/>
          <w:noProof/>
          <w:sz w:val="22"/>
          <w:szCs w:val="22"/>
        </w:rPr>
      </w:pPr>
      <w:r w:rsidRPr="003E6024">
        <w:rPr>
          <w:rFonts w:ascii="Arial" w:hAnsi="Arial" w:cs="Arial"/>
          <w:b/>
          <w:noProof/>
          <w:sz w:val="22"/>
          <w:szCs w:val="22"/>
          <w:lang w:val="bg-BG"/>
        </w:rPr>
        <w:t>1. ЛЕЧЕБНИТЕ ДЕЙНОСТИ ЗА ПАЦИЕНТА</w:t>
      </w:r>
      <w:r w:rsidRPr="003E6024">
        <w:rPr>
          <w:rFonts w:ascii="Arial" w:hAnsi="Arial" w:cs="Arial"/>
          <w:b/>
          <w:sz w:val="22"/>
          <w:szCs w:val="22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се документират </w:t>
      </w:r>
      <w:r w:rsidRPr="003E6024">
        <w:rPr>
          <w:rFonts w:ascii="Arial" w:hAnsi="Arial" w:cs="Arial"/>
          <w:noProof/>
          <w:sz w:val="22"/>
          <w:szCs w:val="22"/>
          <w:lang w:val="bg-BG"/>
        </w:rPr>
        <w:t xml:space="preserve">в </w:t>
      </w:r>
      <w:r w:rsidRPr="003E6024">
        <w:rPr>
          <w:rFonts w:ascii="Arial" w:hAnsi="Arial" w:cs="Arial"/>
          <w:i/>
          <w:noProof/>
          <w:sz w:val="22"/>
          <w:szCs w:val="22"/>
        </w:rPr>
        <w:t>„Медицинско направление за провеждане на клинични процедури/амбулаторни процедури“ (бл. МЗ- НЗОК № 8А).</w:t>
      </w:r>
    </w:p>
    <w:p w:rsidR="001000CB" w:rsidRPr="003E6024" w:rsidRDefault="001000CB" w:rsidP="001000CB">
      <w:pPr>
        <w:pStyle w:val="Body"/>
        <w:keepNext/>
        <w:keepLines/>
        <w:spacing w:before="0" w:line="240" w:lineRule="auto"/>
        <w:ind w:firstLine="0"/>
        <w:rPr>
          <w:rFonts w:cs="Arial"/>
          <w:b/>
          <w:szCs w:val="22"/>
          <w:lang w:val="ru-RU"/>
        </w:rPr>
      </w:pPr>
    </w:p>
    <w:p w:rsidR="001000CB" w:rsidRDefault="001000CB" w:rsidP="001000CB">
      <w:pPr>
        <w:keepNext/>
        <w:keepLines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3E6024">
        <w:rPr>
          <w:rFonts w:ascii="Arial" w:hAnsi="Arial" w:cs="Arial"/>
          <w:b/>
          <w:sz w:val="22"/>
          <w:szCs w:val="22"/>
          <w:lang w:val="ru-RU"/>
        </w:rPr>
        <w:t>2</w:t>
      </w:r>
      <w:r w:rsidRPr="003E6024">
        <w:rPr>
          <w:rFonts w:ascii="Arial" w:hAnsi="Arial" w:cs="Arial"/>
          <w:b/>
          <w:sz w:val="22"/>
          <w:szCs w:val="22"/>
        </w:rPr>
        <w:t>.</w:t>
      </w:r>
      <w:r w:rsidRPr="003E6024">
        <w:rPr>
          <w:rFonts w:ascii="Arial" w:hAnsi="Arial" w:cs="Arial"/>
          <w:b/>
          <w:noProof/>
          <w:sz w:val="22"/>
          <w:szCs w:val="22"/>
        </w:rPr>
        <w:t xml:space="preserve"> ДЕКЛАРАЦИЯ ЗА ИНФОРМИРАНО СЪГЛАСИЕ</w:t>
      </w:r>
      <w:r>
        <w:rPr>
          <w:rFonts w:ascii="Arial" w:hAnsi="Arial" w:cs="Arial"/>
          <w:b/>
          <w:noProof/>
          <w:sz w:val="22"/>
          <w:szCs w:val="22"/>
          <w:lang w:val="bg-BG"/>
        </w:rPr>
        <w:t xml:space="preserve"> </w:t>
      </w:r>
      <w:r w:rsidRPr="003E6024">
        <w:rPr>
          <w:rFonts w:ascii="Arial" w:hAnsi="Arial" w:cs="Arial"/>
          <w:b/>
          <w:noProof/>
          <w:sz w:val="22"/>
          <w:szCs w:val="22"/>
          <w:lang w:val="en-US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– </w:t>
      </w:r>
      <w:r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>подписва</w:t>
      </w:r>
      <w:r w:rsidRPr="003E6024">
        <w:rPr>
          <w:rFonts w:ascii="Arial" w:hAnsi="Arial" w:cs="Arial"/>
          <w:noProof/>
          <w:sz w:val="22"/>
          <w:szCs w:val="22"/>
          <w:lang w:val="en-US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</w:rPr>
        <w:t xml:space="preserve">се от пациента </w:t>
      </w:r>
      <w:r w:rsidRPr="00C754B7">
        <w:rPr>
          <w:rFonts w:ascii="Arial" w:hAnsi="Arial" w:cs="Arial"/>
          <w:noProof/>
          <w:sz w:val="22"/>
          <w:szCs w:val="22"/>
        </w:rPr>
        <w:t>(родителя/настойника</w:t>
      </w:r>
      <w:r>
        <w:rPr>
          <w:rFonts w:ascii="Arial" w:hAnsi="Arial" w:cs="Arial"/>
          <w:noProof/>
          <w:sz w:val="22"/>
          <w:szCs w:val="22"/>
          <w:lang w:val="bg-BG"/>
        </w:rPr>
        <w:t>/попечителя</w:t>
      </w:r>
      <w:r w:rsidRPr="00C754B7">
        <w:rPr>
          <w:rFonts w:ascii="Arial" w:hAnsi="Arial" w:cs="Arial"/>
          <w:noProof/>
          <w:sz w:val="22"/>
          <w:szCs w:val="22"/>
        </w:rPr>
        <w:t>)</w:t>
      </w:r>
      <w:r>
        <w:rPr>
          <w:rFonts w:ascii="Arial" w:hAnsi="Arial" w:cs="Arial"/>
          <w:noProof/>
          <w:sz w:val="22"/>
          <w:szCs w:val="22"/>
          <w:lang w:val="bg-BG"/>
        </w:rPr>
        <w:t>.</w:t>
      </w:r>
    </w:p>
    <w:p w:rsidR="001000CB" w:rsidRPr="003E6024" w:rsidRDefault="001000CB" w:rsidP="001000CB">
      <w:pPr>
        <w:keepNext/>
        <w:keepLines/>
        <w:rPr>
          <w:rFonts w:cs="Arial"/>
          <w:b/>
          <w:szCs w:val="22"/>
        </w:rPr>
      </w:pPr>
    </w:p>
    <w:p w:rsidR="001000CB" w:rsidRPr="003E6024" w:rsidRDefault="001000CB" w:rsidP="001000C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  <w:proofErr w:type="gramStart"/>
      <w:r>
        <w:rPr>
          <w:rFonts w:ascii="Arial" w:hAnsi="Arial" w:cs="Arial"/>
          <w:b/>
          <w:sz w:val="22"/>
          <w:szCs w:val="22"/>
          <w:lang w:val="en-US"/>
        </w:rPr>
        <w:t xml:space="preserve">3. </w:t>
      </w:r>
      <w:r w:rsidRPr="003E6024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3E6024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 w:rsidRPr="003E6024">
        <w:rPr>
          <w:rFonts w:ascii="Arial" w:hAnsi="Arial" w:cs="Arial"/>
          <w:i/>
          <w:noProof/>
          <w:sz w:val="22"/>
          <w:szCs w:val="22"/>
        </w:rPr>
        <w:t>„Медицинско направление за провеждане на клинични процедури/амбулаторни</w:t>
      </w:r>
      <w:r>
        <w:rPr>
          <w:rFonts w:ascii="Arial" w:hAnsi="Arial" w:cs="Arial"/>
          <w:i/>
          <w:noProof/>
          <w:sz w:val="22"/>
          <w:szCs w:val="22"/>
        </w:rPr>
        <w:t xml:space="preserve"> процедури“ (бл.</w:t>
      </w:r>
      <w:proofErr w:type="gramEnd"/>
      <w:r>
        <w:rPr>
          <w:rFonts w:ascii="Arial" w:hAnsi="Arial" w:cs="Arial"/>
          <w:i/>
          <w:noProof/>
          <w:sz w:val="22"/>
          <w:szCs w:val="22"/>
        </w:rPr>
        <w:t xml:space="preserve"> МЗ- НЗОК № 8А)</w:t>
      </w:r>
      <w:r w:rsidRPr="003E6024">
        <w:rPr>
          <w:rFonts w:ascii="Arial" w:hAnsi="Arial" w:cs="Arial"/>
          <w:i/>
          <w:noProof/>
          <w:sz w:val="22"/>
          <w:szCs w:val="22"/>
        </w:rPr>
        <w:t xml:space="preserve"> </w:t>
      </w:r>
      <w:r w:rsidRPr="003E6024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НЗОК.</w:t>
      </w:r>
    </w:p>
    <w:p w:rsidR="001000CB" w:rsidRPr="003E6024" w:rsidRDefault="001000CB" w:rsidP="001000CB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x-none"/>
        </w:rPr>
      </w:pPr>
    </w:p>
    <w:p w:rsidR="001000CB" w:rsidRPr="00BF7F06" w:rsidRDefault="001000CB" w:rsidP="001000CB">
      <w:pPr>
        <w:keepNext/>
        <w:keepLines/>
        <w:rPr>
          <w:lang w:val="bg-BG"/>
        </w:rPr>
      </w:pPr>
      <w:r w:rsidRPr="00424FEB">
        <w:rPr>
          <w:rFonts w:ascii="Arial" w:hAnsi="Arial" w:cs="Arial"/>
          <w:b/>
          <w:sz w:val="22"/>
          <w:szCs w:val="22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1000CB" w:rsidRDefault="001000CB" w:rsidP="001000CB">
      <w:pPr>
        <w:keepNext/>
        <w:keepLines/>
        <w:rPr>
          <w:lang w:val="bg-BG"/>
        </w:rPr>
      </w:pPr>
    </w:p>
    <w:p w:rsidR="001000CB" w:rsidRPr="00446F15" w:rsidRDefault="001000CB" w:rsidP="001000CB">
      <w:pPr>
        <w:pStyle w:val="Body"/>
        <w:keepNext/>
        <w:keepLines/>
        <w:spacing w:before="0" w:line="240" w:lineRule="auto"/>
        <w:jc w:val="right"/>
        <w:rPr>
          <w:b/>
          <w:caps/>
          <w:lang w:val="ru-RU"/>
        </w:rPr>
      </w:pPr>
      <w:r>
        <w:br w:type="page"/>
      </w:r>
      <w:r w:rsidRPr="00446F15">
        <w:rPr>
          <w:b/>
          <w:caps/>
          <w:lang w:val="ru-RU"/>
        </w:rPr>
        <w:lastRenderedPageBreak/>
        <w:t>ДОКУМЕНТ № 4</w:t>
      </w:r>
    </w:p>
    <w:p w:rsidR="001000CB" w:rsidRPr="00446F15" w:rsidRDefault="001000CB" w:rsidP="001000CB">
      <w:pPr>
        <w:pStyle w:val="NormalWeb"/>
        <w:keepNext/>
        <w:keepLines/>
        <w:spacing w:before="0" w:beforeAutospacing="0" w:after="0" w:afterAutospacing="0"/>
        <w:rPr>
          <w:rFonts w:ascii="Arial" w:hAnsi="Arial" w:cs="Arial"/>
          <w:b/>
          <w:bCs/>
          <w:color w:val="333333"/>
          <w:sz w:val="20"/>
          <w:szCs w:val="20"/>
        </w:rPr>
      </w:pPr>
    </w:p>
    <w:p w:rsidR="001000CB" w:rsidRDefault="001000CB" w:rsidP="001000CB">
      <w:pPr>
        <w:pStyle w:val="ime-razdel"/>
        <w:keepNext/>
        <w:keepLines/>
        <w:spacing w:before="0" w:after="0" w:line="240" w:lineRule="auto"/>
        <w:rPr>
          <w:lang w:val="ru-RU"/>
        </w:rPr>
      </w:pPr>
      <w:r w:rsidRPr="00374918">
        <w:rPr>
          <w:lang w:val="ru-RU"/>
        </w:rPr>
        <w:t>ИНФОРМАЦИЯ ЗА ПАЦИЕНТА (родителя /настойника/Попечителя)</w:t>
      </w:r>
    </w:p>
    <w:p w:rsidR="001000CB" w:rsidRPr="00A7429D" w:rsidRDefault="001000CB" w:rsidP="001000CB">
      <w:pPr>
        <w:pStyle w:val="chast"/>
        <w:keepNext/>
        <w:keepLines/>
        <w:spacing w:after="0"/>
        <w:rPr>
          <w:spacing w:val="0"/>
          <w:sz w:val="22"/>
          <w:lang w:val="ru-RU"/>
        </w:rPr>
      </w:pPr>
      <w:r w:rsidRPr="00A7429D">
        <w:rPr>
          <w:spacing w:val="0"/>
          <w:sz w:val="22"/>
          <w:lang w:val="ru-RU"/>
        </w:rPr>
        <w:t xml:space="preserve">(НАПАСВАНЕ НА ПРОТЕЗА НА ГОРЕН ИЛИ </w:t>
      </w:r>
      <w:proofErr w:type="gramStart"/>
      <w:r w:rsidRPr="00A7429D">
        <w:rPr>
          <w:spacing w:val="0"/>
          <w:sz w:val="22"/>
          <w:lang w:val="ru-RU"/>
        </w:rPr>
        <w:t>ДОЛЕН</w:t>
      </w:r>
      <w:proofErr w:type="gramEnd"/>
      <w:r w:rsidRPr="00A7429D">
        <w:rPr>
          <w:spacing w:val="0"/>
          <w:sz w:val="22"/>
          <w:lang w:val="ru-RU"/>
        </w:rPr>
        <w:t xml:space="preserve"> КРАЙНИК) </w:t>
      </w:r>
    </w:p>
    <w:p w:rsidR="001000CB" w:rsidRPr="00446F15" w:rsidRDefault="001000CB" w:rsidP="001000C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</w:p>
    <w:p w:rsidR="001000CB" w:rsidRPr="00374918" w:rsidRDefault="001000CB" w:rsidP="001000CB">
      <w:pPr>
        <w:keepNext/>
        <w:keepLines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 w:cs="Arial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sz w:val="22"/>
          <w:szCs w:val="22"/>
          <w:lang w:val="bg-BG" w:eastAsia="bg-BG"/>
        </w:rPr>
        <w:t xml:space="preserve">Протезите, заместващи крайници, са обект на ортопедията. Те се конструират в зависимост от травмата и заместват целия крайник или част от него. </w:t>
      </w:r>
    </w:p>
    <w:p w:rsidR="001000CB" w:rsidRDefault="001000CB" w:rsidP="001000CB">
      <w:pPr>
        <w:keepNext/>
        <w:keepLines/>
        <w:jc w:val="both"/>
        <w:rPr>
          <w:rFonts w:ascii="Arial" w:eastAsia="Calibri" w:hAnsi="Arial" w:cs="Arial"/>
          <w:color w:val="4B4B4B"/>
          <w:sz w:val="22"/>
          <w:szCs w:val="22"/>
          <w:lang w:val="bg-BG"/>
        </w:rPr>
      </w:pP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Процесът на </w:t>
      </w:r>
      <w:proofErr w:type="spellStart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протезиране</w:t>
      </w:r>
      <w:proofErr w:type="spellEnd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се състои от две отделни фази: изработване на тестова гилза и 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>напасване на временната протеза и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изработване на окончателна гилза и напасване на постоянната протеза.</w:t>
      </w:r>
    </w:p>
    <w:p w:rsidR="001000CB" w:rsidRPr="00374918" w:rsidRDefault="001000CB" w:rsidP="001000CB">
      <w:pPr>
        <w:keepNext/>
        <w:keepLines/>
        <w:jc w:val="both"/>
        <w:rPr>
          <w:rFonts w:ascii="Arial" w:eastAsia="Calibri" w:hAnsi="Arial" w:cs="Arial"/>
          <w:color w:val="4B4B4B"/>
          <w:sz w:val="22"/>
          <w:szCs w:val="22"/>
          <w:lang w:val="bg-BG"/>
        </w:rPr>
      </w:pPr>
      <w:r>
        <w:rPr>
          <w:rFonts w:ascii="Arial" w:eastAsia="Calibri" w:hAnsi="Arial" w:cs="Arial"/>
          <w:color w:val="4B4B4B"/>
          <w:sz w:val="22"/>
          <w:szCs w:val="22"/>
          <w:lang w:val="bg-BG"/>
        </w:rPr>
        <w:tab/>
        <w:t xml:space="preserve"> Н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апасването на временната протеза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е по-дългата фаза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.</w:t>
      </w:r>
      <w:r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</w:t>
      </w:r>
      <w:proofErr w:type="spellStart"/>
      <w:r>
        <w:rPr>
          <w:rFonts w:ascii="Arial" w:eastAsia="Calibri" w:hAnsi="Arial" w:cs="Arial"/>
          <w:color w:val="4B4B4B"/>
          <w:sz w:val="22"/>
          <w:szCs w:val="22"/>
          <w:lang w:val="bg-BG"/>
        </w:rPr>
        <w:t>П</w:t>
      </w:r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>ротезирането</w:t>
      </w:r>
      <w:proofErr w:type="spellEnd"/>
      <w:r w:rsidRPr="00374918">
        <w:rPr>
          <w:rFonts w:ascii="Arial" w:eastAsia="Calibri" w:hAnsi="Arial" w:cs="Arial"/>
          <w:color w:val="4B4B4B"/>
          <w:sz w:val="22"/>
          <w:szCs w:val="22"/>
          <w:lang w:val="bg-BG"/>
        </w:rPr>
        <w:t xml:space="preserve"> обикновено започва, когато отокът на чукана е овладян и шевовете са зараснали (от 4 до 6 седмици след хирургичната операция).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  <w:t>С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труктурата на протезата включва: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приемна гилза, която се поставя върху чукана;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различни компоненти (тръби,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адаптори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ротатори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);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механични или електронни стави (на таза, коляното, лакътя)</w:t>
      </w:r>
    </w:p>
    <w:p w:rsidR="001000CB" w:rsidRPr="00374918" w:rsidRDefault="001000CB" w:rsidP="001000CB">
      <w:pPr>
        <w:keepNext/>
        <w:keepLines/>
        <w:numPr>
          <w:ilvl w:val="0"/>
          <w:numId w:val="3"/>
        </w:numPr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стъпало, длан или друго устройство-накрайник.</w:t>
      </w:r>
    </w:p>
    <w:p w:rsidR="001000CB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Приемната гилза е мястото, където протезата и тялото се свързват, 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>и е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най-важния елемент при изработването на протезата. Степента на Вашето възстановяване и връщане към начина Ви на живот до голяма степен зависи от това, как е изработена приемната гилза. Приемната гилза трябва да бъде удобна и да приляга плътно към чукана. 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b/>
          <w:color w:val="4B4B4B"/>
          <w:sz w:val="22"/>
          <w:szCs w:val="22"/>
          <w:lang w:val="bg-BG" w:eastAsia="bg-BG"/>
        </w:rPr>
        <w:t>Изработване на тестова гилза и временна протеза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След взимането на гипсова мярка (отливка) на чукана, се изработва приемната гилза, която точно улавя контурите на Вашия крайник. Тестовите приемни гилзи са изработени от прозрачни,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термопластични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материали, за да може лесно да се вижда как чуканът контактува с приемната гилза и да се установят областите с повишена чувствителност към натиск.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Временната приемна гилза и другите компоненти се напасват и центроват, когато започнете да използвате протезата и споделяте впечатленията си с Вашия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протезист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. За хората с наскоро ампутиран крайник, временната протеза може да бъде носена в продължение на няколко месеца, тъй като чуканът продължава да намалява размера си, да се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донамества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в гилзата и да променя формата си. Временната протеза обикновено не е облечена с козметично покритие, за да могат лесно да се правят нужните корекции.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Основна част от процеса на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протезирането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е рехабилитацията – обучението в ходене, физиотерапията и лечебната гимнастика. Някои хора, особено хората с протези на горните крайници, ще се нуждаят също така и от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ерготерапия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. Физиотерапевтите и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ерготерапевтите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ще изготвят планове за рехабилитация, които ще Ви помогнат да постигнете целите, свързани с начина Ви на живот.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b/>
          <w:bCs/>
          <w:color w:val="4B4B4B"/>
          <w:sz w:val="22"/>
          <w:szCs w:val="22"/>
          <w:lang w:val="bg-BG" w:eastAsia="bg-BG"/>
        </w:rPr>
      </w:pP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 w:rsidRPr="00374918">
        <w:rPr>
          <w:rFonts w:ascii="Arial" w:hAnsi="Arial" w:cs="Arial"/>
          <w:b/>
          <w:bCs/>
          <w:color w:val="4B4B4B"/>
          <w:sz w:val="22"/>
          <w:szCs w:val="22"/>
          <w:lang w:val="bg-BG" w:eastAsia="bg-BG"/>
        </w:rPr>
        <w:t>Изработване на окончателна гилза и постоянна протеза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За хората с наскоро ампутиран крайник, това ще бъде няколко месеца след операцията и носенето на тестова гилза, след като размерът и формата на чукана са се ст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>абилизир</w:t>
      </w:r>
      <w:bookmarkStart w:id="0" w:name="_GoBack"/>
      <w:bookmarkEnd w:id="0"/>
      <w:r>
        <w:rPr>
          <w:rFonts w:ascii="Arial" w:hAnsi="Arial" w:cs="Arial"/>
          <w:color w:val="4B4B4B"/>
          <w:sz w:val="22"/>
          <w:szCs w:val="22"/>
          <w:lang w:val="bg-BG" w:eastAsia="bg-BG"/>
        </w:rPr>
        <w:t>али. Т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ермините “финална” или “окончателна” протеза могат да бъдат подвеждащи. За съжаление, нито един протезен крак или ръка няма да издържат без да се износят, до края на живота Ви. В зависимост от ежедневната употреба и нивото на активност, протезата може да бъде използвана за период от две до пет години.</w:t>
      </w:r>
    </w:p>
    <w:p w:rsidR="001000CB" w:rsidRPr="00374918" w:rsidRDefault="001000CB" w:rsidP="001000CB">
      <w:pPr>
        <w:keepNext/>
        <w:keepLines/>
        <w:shd w:val="clear" w:color="auto" w:fill="FFFFFF"/>
        <w:jc w:val="both"/>
        <w:rPr>
          <w:rFonts w:ascii="Arial" w:hAnsi="Arial" w:cs="Arial"/>
          <w:color w:val="4B4B4B"/>
          <w:sz w:val="22"/>
          <w:szCs w:val="22"/>
          <w:lang w:val="bg-BG" w:eastAsia="bg-BG"/>
        </w:rPr>
      </w:pPr>
      <w:r>
        <w:rPr>
          <w:rFonts w:ascii="Arial" w:hAnsi="Arial" w:cs="Arial"/>
          <w:color w:val="4B4B4B"/>
          <w:sz w:val="22"/>
          <w:szCs w:val="22"/>
          <w:lang w:val="bg-BG" w:eastAsia="bg-BG"/>
        </w:rPr>
        <w:tab/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По отношение на децата, периодът на износване е още по-кратък поради непрестанното им физическо развитие.</w:t>
      </w:r>
      <w:r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 </w:t>
      </w:r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Важно е да запомните, че протезата е механично устройство, което понякога се нуждае от ремонт. Също така трябва да </w:t>
      </w:r>
      <w:proofErr w:type="spellStart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>знаeте</w:t>
      </w:r>
      <w:proofErr w:type="spellEnd"/>
      <w:r w:rsidRPr="00374918">
        <w:rPr>
          <w:rFonts w:ascii="Arial" w:hAnsi="Arial" w:cs="Arial"/>
          <w:color w:val="4B4B4B"/>
          <w:sz w:val="22"/>
          <w:szCs w:val="22"/>
          <w:lang w:val="bg-BG" w:eastAsia="bg-BG"/>
        </w:rPr>
        <w:t xml:space="preserve">, че значителното покачване на тегло или загубата на тегло може да изисква извършването на корекции на приемната гилза или смяна на други части на протезата. </w:t>
      </w:r>
    </w:p>
    <w:sectPr w:rsidR="001000CB" w:rsidRPr="00374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abstractNum w:abstractNumId="0">
    <w:nsid w:val="507C6623"/>
    <w:multiLevelType w:val="hybridMultilevel"/>
    <w:tmpl w:val="576C485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8F6B75"/>
    <w:multiLevelType w:val="multilevel"/>
    <w:tmpl w:val="8F26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B65E6D"/>
    <w:multiLevelType w:val="hybridMultilevel"/>
    <w:tmpl w:val="6ECC0B1A"/>
    <w:lvl w:ilvl="0" w:tplc="DC564F2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662"/>
    <w:rsid w:val="00094D67"/>
    <w:rsid w:val="000E4092"/>
    <w:rsid w:val="001000CB"/>
    <w:rsid w:val="00151E98"/>
    <w:rsid w:val="001A0777"/>
    <w:rsid w:val="001A7ED9"/>
    <w:rsid w:val="00242662"/>
    <w:rsid w:val="002B6F28"/>
    <w:rsid w:val="004A3F85"/>
    <w:rsid w:val="0083673E"/>
    <w:rsid w:val="008F4802"/>
    <w:rsid w:val="009D3CED"/>
    <w:rsid w:val="00A6025A"/>
    <w:rsid w:val="00A86726"/>
    <w:rsid w:val="00AB1AB8"/>
    <w:rsid w:val="00E53B5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1000C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1000C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SrgCod4dig">
    <w:name w:val="SrgCod4dig"/>
    <w:basedOn w:val="Normal"/>
    <w:rsid w:val="001000C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1000C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1000CB"/>
    <w:pPr>
      <w:spacing w:before="100" w:beforeAutospacing="1" w:after="100" w:afterAutospacing="1"/>
    </w:pPr>
    <w:rPr>
      <w:lang w:val="bg-BG" w:eastAsia="bg-BG"/>
    </w:rPr>
  </w:style>
  <w:style w:type="character" w:customStyle="1" w:styleId="BodyChar1">
    <w:name w:val="Body Char1"/>
    <w:link w:val="Body"/>
    <w:rsid w:val="001000CB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98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1000C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1000C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SrgCod4dig">
    <w:name w:val="SrgCod4dig"/>
    <w:basedOn w:val="Normal"/>
    <w:rsid w:val="001000C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1000C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1000C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1000CB"/>
    <w:pPr>
      <w:spacing w:before="100" w:beforeAutospacing="1" w:after="100" w:afterAutospacing="1"/>
    </w:pPr>
    <w:rPr>
      <w:lang w:val="bg-BG" w:eastAsia="bg-BG"/>
    </w:rPr>
  </w:style>
  <w:style w:type="character" w:customStyle="1" w:styleId="BodyChar1">
    <w:name w:val="Body Char1"/>
    <w:link w:val="Body"/>
    <w:rsid w:val="001000CB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E9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10</cp:revision>
  <cp:lastPrinted>2018-02-23T08:23:00Z</cp:lastPrinted>
  <dcterms:created xsi:type="dcterms:W3CDTF">2017-03-08T09:05:00Z</dcterms:created>
  <dcterms:modified xsi:type="dcterms:W3CDTF">2018-02-23T08:26:00Z</dcterms:modified>
</cp:coreProperties>
</file>