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3671" w:rsidRP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671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РАЗРЕШЕНИЯТА ЗА УПОТРЕБА НА ЛЕКАРСТВЕНИТЕ ПРОДУКТИ,</w:t>
      </w:r>
    </w:p>
    <w:p w:rsidR="00AD3671" w:rsidRP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6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AD3671" w:rsidRP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671"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НЗОК/</w:t>
      </w:r>
    </w:p>
    <w:p w:rsidR="00AD3671" w:rsidRPr="00AD3671" w:rsidRDefault="00AD3671" w:rsidP="00AD3671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3671">
        <w:rPr>
          <w:rFonts w:ascii="Times New Roman" w:eastAsia="Times New Roman" w:hAnsi="Times New Roman" w:cs="Times New Roman"/>
          <w:b/>
          <w:sz w:val="24"/>
          <w:szCs w:val="24"/>
        </w:rPr>
        <w:t>ТЕХНИТЕ УПЪЛНОМОЩЕНИ ПРЕДСТАВИТЕЛИ</w:t>
      </w:r>
    </w:p>
    <w:p w:rsidR="00AD3671" w:rsidRPr="00AD3671" w:rsidRDefault="00AD3671" w:rsidP="00AD367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AD3671" w:rsidRPr="00AD3671" w:rsidRDefault="00AD3671" w:rsidP="00AD367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AD3671" w:rsidRPr="00AD3671" w:rsidRDefault="00AD3671" w:rsidP="00AD367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671" w:rsidRPr="00AD3671" w:rsidRDefault="00AD3671" w:rsidP="00AD367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671" w:rsidRPr="00AD3671" w:rsidRDefault="00AD3671" w:rsidP="00AD3671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671" w:rsidRPr="00AD3671" w:rsidRDefault="00AD3671" w:rsidP="00AD3671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AD3671">
        <w:rPr>
          <w:rFonts w:ascii="Times New Roman" w:eastAsia="Times New Roman" w:hAnsi="Times New Roman" w:cs="Times New Roman"/>
          <w:bCs/>
          <w:sz w:val="24"/>
          <w:szCs w:val="24"/>
        </w:rPr>
        <w:t>В изпълнение на т.</w:t>
      </w:r>
      <w:r w:rsidRPr="00AD36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AD36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Pr="00AD36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Методика РД-16-6/11.2.2021 г.за прилагане на механизма, гарантиращ </w:t>
      </w:r>
      <w:proofErr w:type="spellStart"/>
      <w:r w:rsidRPr="00AD3671">
        <w:rPr>
          <w:rFonts w:ascii="Times New Roman" w:eastAsia="Times New Roman" w:hAnsi="Times New Roman" w:cs="Times New Roman"/>
          <w:bCs/>
          <w:i/>
          <w:sz w:val="24"/>
          <w:szCs w:val="24"/>
        </w:rPr>
        <w:t>предвидимост</w:t>
      </w:r>
      <w:proofErr w:type="spellEnd"/>
      <w:r w:rsidRPr="00AD367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устойчивост на бюджета на НЗОК</w:t>
      </w:r>
      <w:r w:rsidRPr="00AD3671">
        <w:rPr>
          <w:rFonts w:ascii="Times New Roman" w:eastAsia="Times New Roman" w:hAnsi="Times New Roman" w:cs="Times New Roman"/>
          <w:bCs/>
          <w:sz w:val="24"/>
          <w:szCs w:val="24"/>
        </w:rPr>
        <w:t xml:space="preserve">, на официалната интернет страница на НЗОК се </w:t>
      </w:r>
      <w:r w:rsidRPr="00AD367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публикува следната информация за </w:t>
      </w:r>
      <w:r w:rsidRPr="00AD3671">
        <w:rPr>
          <w:rFonts w:ascii="Times New Roman" w:eastAsia="Times New Roman" w:hAnsi="Times New Roman" w:cs="Times New Roman"/>
          <w:bCs/>
          <w:sz w:val="24"/>
          <w:szCs w:val="24"/>
        </w:rPr>
        <w:t>първото тримесечие на 2021г.</w:t>
      </w:r>
      <w:r w:rsidRPr="00AD3671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:</w:t>
      </w:r>
    </w:p>
    <w:p w:rsidR="00AD3671" w:rsidRPr="00AD3671" w:rsidRDefault="00AD3671" w:rsidP="00AD3671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D3671" w:rsidRPr="00AD3671" w:rsidRDefault="00AD3671" w:rsidP="00AD3671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Нетни разходи на НЗОК за лекарствените продукти, </w:t>
      </w:r>
      <w:proofErr w:type="spellStart"/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</w:t>
      </w:r>
      <w:r w:rsidRPr="00AD3671">
        <w:rPr>
          <w:rFonts w:ascii="Times New Roman" w:eastAsia="Times New Roman" w:hAnsi="Times New Roman" w:cs="Times New Roman"/>
          <w:bCs/>
          <w:sz w:val="24"/>
          <w:szCs w:val="24"/>
        </w:rPr>
        <w:t>първото</w:t>
      </w:r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2021г. (т.е. разходите след приспадане на договорените задължителни и доброволни отстъпки за </w:t>
      </w:r>
      <w:r w:rsidRPr="00AD3671">
        <w:rPr>
          <w:rFonts w:ascii="Times New Roman" w:eastAsia="Times New Roman" w:hAnsi="Times New Roman" w:cs="Times New Roman"/>
          <w:bCs/>
          <w:sz w:val="24"/>
          <w:szCs w:val="24"/>
        </w:rPr>
        <w:t>първото</w:t>
      </w:r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тримесечие на 2021г.), за всяка от основните групи лекарствени продукти, посочени в чл.35, ал.2, т.2 и т.3 от </w:t>
      </w:r>
      <w:r w:rsidRPr="00AD367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Наредба №10</w:t>
      </w:r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AD3671">
        <w:rPr>
          <w:rFonts w:ascii="Times New Roman" w:eastAsia="Calibri" w:hAnsi="Times New Roman" w:cs="Times New Roman"/>
          <w:i/>
          <w:sz w:val="24"/>
          <w:szCs w:val="24"/>
        </w:rPr>
        <w:t xml:space="preserve">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Pr="00AD3671">
        <w:rPr>
          <w:rFonts w:ascii="Times New Roman" w:eastAsia="Calibri" w:hAnsi="Times New Roman" w:cs="Times New Roman"/>
          <w:i/>
          <w:sz w:val="24"/>
          <w:szCs w:val="24"/>
        </w:rPr>
        <w:t>предвидимост</w:t>
      </w:r>
      <w:proofErr w:type="spellEnd"/>
      <w:r w:rsidRPr="00AD3671">
        <w:rPr>
          <w:rFonts w:ascii="Times New Roman" w:eastAsia="Calibri" w:hAnsi="Times New Roman" w:cs="Times New Roman"/>
          <w:i/>
          <w:sz w:val="24"/>
          <w:szCs w:val="24"/>
        </w:rPr>
        <w:t xml:space="preserve"> и устойчивост на бюджета на НЗОК</w:t>
      </w:r>
      <w:r w:rsidRPr="00AD3671">
        <w:rPr>
          <w:rFonts w:ascii="Times New Roman" w:eastAsia="Calibri" w:hAnsi="Times New Roman" w:cs="Times New Roman"/>
          <w:sz w:val="24"/>
          <w:szCs w:val="24"/>
        </w:rPr>
        <w:t xml:space="preserve"> (Наредба № 10), както следва: </w:t>
      </w:r>
      <w:r w:rsidRPr="00AD367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AD3671" w:rsidRPr="00AD3671" w:rsidRDefault="00AD3671" w:rsidP="00AD3671">
      <w:pPr>
        <w:spacing w:after="0" w:line="240" w:lineRule="auto"/>
        <w:ind w:left="112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D3671" w:rsidRPr="00AD3671" w:rsidRDefault="00AD3671" w:rsidP="00AD367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2268"/>
        <w:gridCol w:w="2459"/>
        <w:gridCol w:w="2359"/>
      </w:tblGrid>
      <w:tr w:rsidR="00AD3671" w:rsidRPr="00AD3671" w:rsidTr="00255A02">
        <w:trPr>
          <w:trHeight w:val="435"/>
          <w:jc w:val="center"/>
        </w:trPr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D3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Основна група лекарствени продукти по чл. 35, ал.1, т.1 от Наредба №10</w:t>
            </w:r>
          </w:p>
        </w:tc>
        <w:tc>
          <w:tcPr>
            <w:tcW w:w="1240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D3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Условен бюджет за тримесечие на 2021г., лв.</w:t>
            </w:r>
          </w:p>
        </w:tc>
        <w:tc>
          <w:tcPr>
            <w:tcW w:w="1345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D3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Нетни разходи за първо тримесечие на 2021г., лв.</w:t>
            </w:r>
          </w:p>
        </w:tc>
        <w:tc>
          <w:tcPr>
            <w:tcW w:w="1290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AD3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Превишение</w:t>
            </w:r>
            <w:proofErr w:type="spellEnd"/>
            <w:r w:rsidRPr="00AD367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, лв.</w:t>
            </w:r>
          </w:p>
        </w:tc>
      </w:tr>
      <w:tr w:rsidR="00AD3671" w:rsidRPr="00AD3671" w:rsidTr="00255A02">
        <w:trPr>
          <w:trHeight w:val="435"/>
          <w:jc w:val="center"/>
        </w:trPr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А</w:t>
            </w:r>
          </w:p>
        </w:tc>
        <w:tc>
          <w:tcPr>
            <w:tcW w:w="1240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119 500 000</w:t>
            </w:r>
          </w:p>
        </w:tc>
        <w:tc>
          <w:tcPr>
            <w:tcW w:w="1345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129 352 535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9 852 535</w:t>
            </w:r>
          </w:p>
        </w:tc>
      </w:tr>
      <w:tr w:rsidR="00AD3671" w:rsidRPr="00AD3671" w:rsidTr="00255A02">
        <w:trPr>
          <w:trHeight w:val="435"/>
          <w:jc w:val="center"/>
        </w:trPr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Б</w:t>
            </w:r>
          </w:p>
        </w:tc>
        <w:tc>
          <w:tcPr>
            <w:tcW w:w="1240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76 204 185</w:t>
            </w:r>
          </w:p>
        </w:tc>
        <w:tc>
          <w:tcPr>
            <w:tcW w:w="1345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77 754 272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1 550 087</w:t>
            </w:r>
          </w:p>
        </w:tc>
      </w:tr>
      <w:tr w:rsidR="00AD3671" w:rsidRPr="00AD3671" w:rsidTr="00255A02">
        <w:trPr>
          <w:trHeight w:val="435"/>
          <w:jc w:val="center"/>
        </w:trPr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В</w:t>
            </w:r>
          </w:p>
        </w:tc>
        <w:tc>
          <w:tcPr>
            <w:tcW w:w="1240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140 000 000</w:t>
            </w:r>
          </w:p>
        </w:tc>
        <w:tc>
          <w:tcPr>
            <w:tcW w:w="1345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148 969 275</w:t>
            </w:r>
          </w:p>
        </w:tc>
        <w:tc>
          <w:tcPr>
            <w:tcW w:w="1290" w:type="pct"/>
            <w:shd w:val="clear" w:color="auto" w:fill="auto"/>
            <w:noWrap/>
            <w:vAlign w:val="center"/>
          </w:tcPr>
          <w:p w:rsidR="00AD3671" w:rsidRPr="00AD3671" w:rsidRDefault="00AD3671" w:rsidP="00AD3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AD3671"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  <w:t>8 969 275</w:t>
            </w:r>
          </w:p>
        </w:tc>
      </w:tr>
    </w:tbl>
    <w:p w:rsidR="00AD3671" w:rsidRPr="00AD3671" w:rsidRDefault="00AD3671" w:rsidP="00AD3671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D3671" w:rsidRPr="00AD3671" w:rsidRDefault="00AD3671" w:rsidP="00AD367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AU"/>
        </w:rPr>
      </w:pPr>
    </w:p>
    <w:p w:rsidR="009723E6" w:rsidRDefault="009723E6"/>
    <w:sectPr w:rsidR="009723E6" w:rsidSect="00450D84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134" w:right="1077" w:bottom="568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AD3671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45EC" w:rsidRDefault="00AD3671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AD3671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45EC" w:rsidRDefault="00AD3671" w:rsidP="004726E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68" w:rsidRDefault="00AD36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47568" w:rsidRDefault="00AD367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EC" w:rsidRDefault="00AD3671" w:rsidP="008920A1">
    <w:pPr>
      <w:tabs>
        <w:tab w:val="left" w:pos="3840"/>
        <w:tab w:val="right" w:pos="9354"/>
      </w:tabs>
      <w:rPr>
        <w:noProof/>
      </w:rPr>
    </w:pPr>
    <w:r>
      <w:rPr>
        <w:noProof/>
        <w:sz w:val="28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-132080</wp:posOffset>
              </wp:positionV>
              <wp:extent cx="1214755" cy="847090"/>
              <wp:effectExtent l="2540" t="127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7" name="Rectangle 247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93.7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AFeVp+EAAAALAQAA&#10;DwAAAAAAAAAAAAAAAACiAgEAZHJzL2Rvd25yZXYueG1sUEsFBgAAAAAEAAQA8wAAALADAQAAAA==&#10;">
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<v:path arrowok="t" o:connecttype="custom" o:connectlocs="0,1950;0,0;32,0;32,1979;0,1950" o:connectangles="0,0,0,0,0"/>
                </v:shape>
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<v:path arrowok="t" o:connecttype="custom" o:connectlocs="0,1979;0,0;32,0;32,2011;0,1979" o:connectangles="0,0,0,0,0"/>
                </v:shape>
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<v:path arrowok="t" o:connecttype="custom" o:connectlocs="0,2011;0,0;32,0;32,2039;0,2011" o:connectangles="0,0,0,0,0"/>
                </v:shape>
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<v:path arrowok="t" o:connecttype="custom" o:connectlocs="0,2039;0,0;33,0;33,2071;0,2039" o:connectangles="0,0,0,0,0"/>
                </v:shape>
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<v:path arrowok="t" o:connecttype="custom" o:connectlocs="0,2071;0,0;32,0;32,2099;0,2071" o:connectangles="0,0,0,0,0"/>
                </v:shape>
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<v:path arrowok="t" o:connecttype="custom" o:connectlocs="0,2099;0,0;32,0;32,2132;0,2099" o:connectangles="0,0,0,0,0"/>
                </v:shape>
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<v:path arrowok="t" o:connecttype="custom" o:connectlocs="0,2132;0,0;32,0;32,2164;0,2132" o:connectangles="0,0,0,0,0"/>
                </v:shape>
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<v:path arrowok="t" o:connecttype="custom" o:connectlocs="0,2164;0,0;29,0;29,2192;0,2164" o:connectangles="0,0,0,0,0"/>
                </v:shape>
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<v:path arrowok="t" o:connecttype="custom" o:connectlocs="0,2224;0,0;32,0;32,2252;0,2224" o:connectangles="0,0,0,0,0"/>
                </v:shape>
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<v:path arrowok="t" o:connecttype="custom" o:connectlocs="0,2252;0,0;32,0;32,2285;0,2252" o:connectangles="0,0,0,0,0"/>
                </v:shape>
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<v:path arrowok="t" o:connecttype="custom" o:connectlocs="0,2285;0,0;33,0;33,2313;0,2285" o:connectangles="0,0,0,0,0"/>
                </v:shape>
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<v:path arrowok="t" o:connecttype="custom" o:connectlocs="0,2313;0,0;32,0;32,2345;0,2313" o:connectangles="0,0,0,0,0"/>
                </v:shape>
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<v:path arrowok="t" o:connecttype="custom" o:connectlocs="0,2345;0,0;32,0;32,2373;0,2345" o:connectangles="0,0,0,0,0"/>
                </v:shape>
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<v:path arrowok="t" o:connecttype="custom" o:connectlocs="0,2373;0,0;32,0;32,2406;0,2373" o:connectangles="0,0,0,0,0"/>
                </v:shape>
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<v:path arrowok="t" o:connecttype="custom" o:connectlocs="0,927;0,40;33,0;33,955;0,927" o:connectangles="0,0,0,0,0"/>
                </v:shape>
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<v:path arrowok="t" o:connecttype="custom" o:connectlocs="0,991;0,36;32,0;32,1023;0,991" o:connectangles="0,0,0,0,0"/>
                </v:shape>
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<v:path arrowok="t" o:connecttype="custom" o:connectlocs="0,1031;0,0;28,0;28,999;0,1031" o:connectangles="0,0,0,0,0"/>
                </v:shape>
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<v:path arrowok="t" o:connecttype="custom" o:connectlocs="0,999;0,0;28,0;28,967;0,999" o:connectangles="0,0,0,0,0"/>
                </v:shape>
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<v:path arrowok="t" o:connecttype="custom" o:connectlocs="0,967;0,0;25,0;25,930;0,967" o:connectangles="0,0,0,0,0"/>
                </v:shape>
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<v:path arrowok="t" o:connecttype="custom" o:connectlocs="0,930;0,0;28,0;28,898;0,930" o:connectangles="0,0,0,0,0"/>
                </v:shape>
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<v:path arrowok="t" o:connecttype="custom" o:connectlocs="0,898;0,0;28,0;28,866;0,898" o:connectangles="0,0,0,0,0"/>
                </v:shape>
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<v:path arrowok="t" o:connecttype="custom" o:connectlocs="0,866;0,0;28,0;28,834;0,866" o:connectangles="0,0,0,0,0"/>
                </v:shape>
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<v:path arrowok="t" o:connecttype="custom" o:connectlocs="0,834;0,0;24,0;24,797;0,834" o:connectangles="0,0,0,0,0"/>
                </v:shape>
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<v:path arrowok="t" o:connecttype="custom" o:connectlocs="0,797;0,0;29,0;29,765;0,797" o:connectangles="0,0,0,0,0"/>
                </v:shape>
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<v:path arrowok="t" o:connecttype="custom" o:connectlocs="0,765;0,0;28,0;28,733;0,765" o:connectangles="0,0,0,0,0"/>
                </v:shape>
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<v:path arrowok="t" o:connecttype="custom" o:connectlocs="0,733;0,0;24,0;24,701;0,733" o:connectangles="0,0,0,0,0"/>
                </v:shape>
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<v:path arrowok="t" o:connecttype="custom" o:connectlocs="0,701;0,0;28,0;28,664;0,701" o:connectangles="0,0,0,0,0"/>
                </v:shape>
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<v:path arrowok="t" o:connecttype="custom" o:connectlocs="0,664;0,0;28,0;28,632;0,664" o:connectangles="0,0,0,0,0"/>
                </v:shape>
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<v:path arrowok="t" o:connecttype="custom" o:connectlocs="0,600;0,0;24,0;24,568;0,600" o:connectangles="0,0,0,0,0"/>
                </v:shape>
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<v:path arrowok="t" o:connecttype="custom" o:connectlocs="0,568;0,0;28,0;28,531;0,568" o:connectangles="0,0,0,0,0"/>
                </v:shape>
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<v:path arrowok="t" o:connecttype="custom" o:connectlocs="0,531;0,0;28,0;28,499;0,531" o:connectangles="0,0,0,0,0"/>
                </v:shape>
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<v:path arrowok="t" o:connecttype="custom" o:connectlocs="0,467;0,0;29,0;29,435;0,467" o:connectangles="0,0,0,0,0"/>
                </v:shape>
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<v:path arrowok="t" o:connecttype="custom" o:connectlocs="0,435;0,0;28,0;28,398;0,435" o:connectangles="0,0,0,0,0"/>
                </v:shape>
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<v:path arrowok="t" o:connecttype="custom" o:connectlocs="0,398;0,0;24,0;24,366;0,398" o:connectangles="0,0,0,0,0"/>
                </v:shape>
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<v:path arrowok="t" o:connecttype="custom" o:connectlocs="0,334;0,0;28,0;28,302;0,334" o:connectangles="0,0,0,0,0"/>
                </v:shape>
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<v:path arrowok="t" o:connecttype="custom" o:connectlocs="0,302;0,0;29,0;29,265;0,302" o:connectangles="0,0,0,0,0"/>
                </v:shape>
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<v:path arrowok="t" o:connecttype="custom" o:connectlocs="0,265;0,0;24,0;24,233;0,265" o:connectangles="0,0,0,0,0"/>
                </v:shape>
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<v:path arrowok="t" o:connecttype="custom" o:connectlocs="0,233;0,0;28,0;28,201;0,233" o:connectangles="0,0,0,0,0"/>
                </v:shape>
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<v:path arrowok="t" o:connecttype="custom" o:connectlocs="0,201;0,0;28,0;28,169;0,201" o:connectangles="0,0,0,0,0"/>
                </v:shape>
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<v:path arrowok="t" o:connecttype="custom" o:connectlocs="0,169;0,0;24,0;24,132;0,169" o:connectangles="0,0,0,0,0"/>
                </v:shape>
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<v:path arrowok="t" o:connecttype="custom" o:connectlocs="0,132;0,0;29,0;29,100;0,132" o:connectangles="0,0,0,0,0"/>
                </v:shape>
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<v:path arrowok="t" o:connecttype="custom" o:connectlocs="0,100;0,0;28,0;28,68;0,100" o:connectangles="0,0,0,0,0"/>
                </v:shape>
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<v:path arrowok="t" o:connecttype="custom" o:connectlocs="0,68;0,0;28,0;28,36;0,68" o:connectangles="0,0,0,0,0"/>
                </v:shape>
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<v:path arrowok="t" o:connecttype="custom" o:connectlocs="0,36;0,0;24,0;0,36" o:connectangles="0,0,0,0"/>
                </v:shape>
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</v:group>
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<o:lock v:ext="edit" aspectratio="t"/>
              </v:rect>
            </v:group>
          </w:pict>
        </mc:Fallback>
      </mc:AlternateContent>
    </w:r>
    <w:r>
      <w:rPr>
        <w:noProof/>
      </w:rPr>
      <w:tab/>
    </w:r>
    <w:r>
      <w:rPr>
        <w:noProof/>
      </w:rPr>
      <w:tab/>
    </w:r>
  </w:p>
  <w:p w:rsidR="00063484" w:rsidRDefault="00AD3671" w:rsidP="008920A1">
    <w:pPr>
      <w:tabs>
        <w:tab w:val="left" w:pos="3840"/>
        <w:tab w:val="right" w:pos="9354"/>
      </w:tabs>
      <w:rPr>
        <w:noProof/>
      </w:rPr>
    </w:pPr>
  </w:p>
  <w:p w:rsidR="00063484" w:rsidRDefault="00AD3671" w:rsidP="008920A1">
    <w:pPr>
      <w:tabs>
        <w:tab w:val="left" w:pos="3840"/>
        <w:tab w:val="right" w:pos="9354"/>
      </w:tabs>
      <w:rPr>
        <w:sz w:val="28"/>
      </w:rPr>
    </w:pPr>
  </w:p>
  <w:p w:rsidR="00A045EC" w:rsidRDefault="00AD3671" w:rsidP="00C4080D">
    <w:pPr>
      <w:rPr>
        <w:sz w:val="28"/>
      </w:rPr>
    </w:pPr>
  </w:p>
  <w:p w:rsidR="00A045EC" w:rsidRPr="00AD3671" w:rsidRDefault="00AD3671" w:rsidP="008F78EE">
    <w:pPr>
      <w:pStyle w:val="Heading2"/>
      <w:pBdr>
        <w:bottom w:val="single" w:sz="6" w:space="4" w:color="auto"/>
      </w:pBdr>
      <w:jc w:val="center"/>
      <w:rPr>
        <w:bCs w:val="0"/>
        <w:smallCap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D3671">
      <w:rPr>
        <w:bCs w:val="0"/>
        <w:smallCaps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ЗДРАВНООСИГУРИТЕЛНА КАСА</w:t>
    </w:r>
  </w:p>
  <w:p w:rsidR="00A045EC" w:rsidRDefault="00AD3671" w:rsidP="00F8210B">
    <w:pPr>
      <w:pStyle w:val="Heading5"/>
      <w:tabs>
        <w:tab w:val="center" w:pos="4678"/>
        <w:tab w:val="right" w:pos="9356"/>
      </w:tabs>
      <w:spacing w:before="0" w:after="0"/>
      <w:rPr>
        <w:sz w:val="18"/>
        <w:lang w:val="bg-BG"/>
      </w:rPr>
    </w:pPr>
    <w:proofErr w:type="gramStart"/>
    <w:r w:rsidRPr="00C4080D">
      <w:rPr>
        <w:sz w:val="18"/>
      </w:rPr>
      <w:t xml:space="preserve">София 1407, </w:t>
    </w:r>
    <w:proofErr w:type="spellStart"/>
    <w:r w:rsidRPr="00C4080D">
      <w:rPr>
        <w:sz w:val="18"/>
      </w:rPr>
      <w:t>ул</w:t>
    </w:r>
    <w:proofErr w:type="spellEnd"/>
    <w:r w:rsidRPr="00C4080D">
      <w:rPr>
        <w:sz w:val="18"/>
      </w:rPr>
      <w:t>.</w:t>
    </w:r>
    <w:proofErr w:type="gramEnd"/>
    <w:r w:rsidRPr="00C4080D">
      <w:rPr>
        <w:sz w:val="18"/>
      </w:rPr>
      <w:t xml:space="preserve"> </w:t>
    </w:r>
    <w:r w:rsidRPr="0070381D">
      <w:rPr>
        <w:sz w:val="18"/>
        <w:lang w:val="ru-RU"/>
      </w:rPr>
      <w:t xml:space="preserve">“Кричим” </w:t>
    </w:r>
    <w:r w:rsidRPr="00C4080D">
      <w:rPr>
        <w:sz w:val="18"/>
      </w:rPr>
      <w:t>No</w:t>
    </w:r>
    <w:r w:rsidRPr="0070381D">
      <w:rPr>
        <w:sz w:val="18"/>
        <w:lang w:val="ru-RU"/>
      </w:rPr>
      <w:t xml:space="preserve"> 1</w:t>
    </w:r>
    <w:r w:rsidRPr="00EC797A">
      <w:rPr>
        <w:sz w:val="18"/>
        <w:lang w:val="ru-RU"/>
      </w:rPr>
      <w:tab/>
    </w:r>
    <w:hyperlink r:id="rId1" w:history="1">
      <w:r w:rsidRPr="002E42AE">
        <w:rPr>
          <w:rStyle w:val="Hyperlink"/>
          <w:sz w:val="18"/>
        </w:rPr>
        <w:t>www</w:t>
      </w:r>
      <w:r w:rsidRPr="0070381D">
        <w:rPr>
          <w:rStyle w:val="Hyperlink"/>
          <w:sz w:val="18"/>
          <w:lang w:val="ru-RU"/>
        </w:rPr>
        <w:t>.</w:t>
      </w:r>
      <w:r w:rsidRPr="002E42AE">
        <w:rPr>
          <w:rStyle w:val="Hyperlink"/>
          <w:sz w:val="18"/>
        </w:rPr>
        <w:t>nhif</w:t>
      </w:r>
      <w:r w:rsidRPr="0070381D">
        <w:rPr>
          <w:rStyle w:val="Hyperlink"/>
          <w:sz w:val="18"/>
          <w:lang w:val="ru-RU"/>
        </w:rPr>
        <w:t>.</w:t>
      </w:r>
      <w:proofErr w:type="spellStart"/>
      <w:r w:rsidRPr="002E42AE">
        <w:rPr>
          <w:rStyle w:val="Hyperlink"/>
          <w:sz w:val="18"/>
        </w:rPr>
        <w:t>bg</w:t>
      </w:r>
      <w:proofErr w:type="spellEnd"/>
    </w:hyperlink>
    <w:r w:rsidRPr="0070381D">
      <w:rPr>
        <w:sz w:val="18"/>
        <w:lang w:val="ru-RU"/>
      </w:rPr>
      <w:t xml:space="preserve"> </w:t>
    </w:r>
    <w:r w:rsidRPr="00EC797A">
      <w:rPr>
        <w:sz w:val="18"/>
        <w:lang w:val="ru-RU"/>
      </w:rPr>
      <w:tab/>
    </w:r>
    <w:r w:rsidRPr="00D73A3E">
      <w:rPr>
        <w:sz w:val="18"/>
        <w:lang w:val="ru-RU"/>
      </w:rPr>
      <w:t>тел: +359 2 9659</w:t>
    </w:r>
    <w:r>
      <w:rPr>
        <w:sz w:val="18"/>
        <w:lang w:val="en-US"/>
      </w:rPr>
      <w:t>301</w:t>
    </w:r>
  </w:p>
  <w:p w:rsidR="000F7DF8" w:rsidRPr="000F7DF8" w:rsidRDefault="00AD3671" w:rsidP="000F7D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C31"/>
    <w:multiLevelType w:val="hybridMultilevel"/>
    <w:tmpl w:val="F71ECCBA"/>
    <w:lvl w:ilvl="0" w:tplc="FC584EFE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comments="0" w:insDel="0" w:formatting="0" w:inkAnnotations="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71"/>
    <w:rsid w:val="009723E6"/>
    <w:rsid w:val="00A43690"/>
    <w:rsid w:val="00AD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D36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D3671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rsid w:val="00AD36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D367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AD3671"/>
  </w:style>
  <w:style w:type="character" w:styleId="Hyperlink">
    <w:name w:val="Hyperlink"/>
    <w:rsid w:val="00AD36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36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D367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D3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AD3671"/>
    <w:rPr>
      <w:rFonts w:ascii="Times New Roman" w:eastAsia="Times New Roman" w:hAnsi="Times New Roman" w:cs="Times New Roman"/>
      <w:b/>
      <w:bCs/>
      <w:i/>
      <w:iCs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rsid w:val="00AD36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D367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AD3671"/>
  </w:style>
  <w:style w:type="character" w:styleId="Hyperlink">
    <w:name w:val="Hyperlink"/>
    <w:rsid w:val="00AD36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nhif</dc:creator>
  <cp:lastModifiedBy>nhif</cp:lastModifiedBy>
  <cp:revision>1</cp:revision>
  <dcterms:created xsi:type="dcterms:W3CDTF">2021-07-22T11:22:00Z</dcterms:created>
  <dcterms:modified xsi:type="dcterms:W3CDTF">2021-07-22T11:23:00Z</dcterms:modified>
</cp:coreProperties>
</file>