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РАЗРЕШЕНИЯТА ЗА УПОТРЕБА НА ЛЕКАРСТВЕНИТЕ ПРОДУКТИ,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НЗОК/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ТЕХНИТЕ УПЪЛНОМОЩЕНИ ПРЕДСТАВИТЕЛИ</w:t>
      </w: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В изпълнение на т.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Методика РД-16-6/11.2.2021 г.за прилагане на механизма, гарантиращ </w:t>
      </w:r>
      <w:proofErr w:type="spellStart"/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предвидимост</w:t>
      </w:r>
      <w:proofErr w:type="spellEnd"/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устойчивост на бюджета на НЗОК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официалната интернет страница на НЗОК се </w:t>
      </w:r>
      <w:r w:rsidRPr="003B3E1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публикува следната информация за 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второто тримесечие на 2021г.</w:t>
      </w:r>
      <w:r w:rsidRPr="003B3E1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:</w:t>
      </w:r>
    </w:p>
    <w:p w:rsidR="003B3E1F" w:rsidRPr="003B3E1F" w:rsidRDefault="003B3E1F" w:rsidP="003B3E1F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Нетни разходи на НЗОК за лекарствените продукти, </w:t>
      </w:r>
      <w:proofErr w:type="spellStart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реимбурсирани</w:t>
      </w:r>
      <w:proofErr w:type="spellEnd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напълно или частично от НЗОК, за 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второто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тримесечие на 2021г. (т.е. разходите след приспадане на договорените задължителни и доброволни отстъпки за 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второто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тримесечие на 2021г.), за всяка от основните групи лекарствени продукти, посочени в чл.35, ал.2, т.2 и т.3 от </w:t>
      </w:r>
      <w:r w:rsidRPr="003B3E1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Наредба №10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Calibri" w:hAnsi="Times New Roman" w:cs="Times New Roman"/>
          <w:i/>
          <w:sz w:val="24"/>
          <w:szCs w:val="24"/>
        </w:rPr>
        <w:t xml:space="preserve">от 2009 г. за условията, реда механизма и критериите за заплащане от Национална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Pr="003B3E1F">
        <w:rPr>
          <w:rFonts w:ascii="Times New Roman" w:eastAsia="Calibri" w:hAnsi="Times New Roman" w:cs="Times New Roman"/>
          <w:i/>
          <w:sz w:val="24"/>
          <w:szCs w:val="24"/>
        </w:rPr>
        <w:t>предвидимост</w:t>
      </w:r>
      <w:proofErr w:type="spellEnd"/>
      <w:r w:rsidRPr="003B3E1F">
        <w:rPr>
          <w:rFonts w:ascii="Times New Roman" w:eastAsia="Calibri" w:hAnsi="Times New Roman" w:cs="Times New Roman"/>
          <w:i/>
          <w:sz w:val="24"/>
          <w:szCs w:val="24"/>
        </w:rPr>
        <w:t xml:space="preserve"> и устойчивост на бюджета на НЗОК</w:t>
      </w:r>
      <w:r w:rsidRPr="003B3E1F">
        <w:rPr>
          <w:rFonts w:ascii="Times New Roman" w:eastAsia="Calibri" w:hAnsi="Times New Roman" w:cs="Times New Roman"/>
          <w:sz w:val="24"/>
          <w:szCs w:val="24"/>
        </w:rPr>
        <w:t xml:space="preserve"> (Наредба № 10) и </w:t>
      </w:r>
      <w:proofErr w:type="spellStart"/>
      <w:r w:rsidRPr="003B3E1F">
        <w:rPr>
          <w:rFonts w:ascii="Times New Roman" w:eastAsia="Calibri" w:hAnsi="Times New Roman" w:cs="Times New Roman"/>
          <w:sz w:val="24"/>
          <w:szCs w:val="24"/>
        </w:rPr>
        <w:t>превишение</w:t>
      </w:r>
      <w:proofErr w:type="spellEnd"/>
      <w:r w:rsidRPr="003B3E1F">
        <w:rPr>
          <w:rFonts w:ascii="Times New Roman" w:eastAsia="Calibri" w:hAnsi="Times New Roman" w:cs="Times New Roman"/>
          <w:sz w:val="24"/>
          <w:szCs w:val="24"/>
        </w:rPr>
        <w:t xml:space="preserve"> по основни групи А,Б и В както следва: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3B3E1F" w:rsidRPr="003B3E1F" w:rsidRDefault="003B3E1F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4"/>
        <w:gridCol w:w="2256"/>
        <w:gridCol w:w="2464"/>
        <w:gridCol w:w="2283"/>
      </w:tblGrid>
      <w:tr w:rsidR="003B3E1F" w:rsidRPr="003B3E1F" w:rsidTr="00CE4410">
        <w:trPr>
          <w:trHeight w:val="435"/>
        </w:trPr>
        <w:tc>
          <w:tcPr>
            <w:tcW w:w="1433" w:type="pct"/>
            <w:shd w:val="clear" w:color="auto" w:fill="auto"/>
            <w:noWrap/>
            <w:vAlign w:val="center"/>
            <w:hideMark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3B3E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Основна група лекарствени продукти по чл. 35, ал.1, т.1 от Наредба №10</w:t>
            </w:r>
          </w:p>
        </w:tc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3B3E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Условен бюджет за тримесечие на 2021г., лв.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3B3E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Нетни разходи за второто тримесечие на 2021г., лв.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3B3E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Превишение</w:t>
            </w:r>
            <w:proofErr w:type="spellEnd"/>
            <w:r w:rsidRPr="003B3E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, лв.</w:t>
            </w:r>
          </w:p>
        </w:tc>
      </w:tr>
      <w:tr w:rsidR="003B3E1F" w:rsidRPr="003B3E1F" w:rsidTr="00CE4410">
        <w:trPr>
          <w:trHeight w:val="435"/>
        </w:trPr>
        <w:tc>
          <w:tcPr>
            <w:tcW w:w="1433" w:type="pct"/>
            <w:shd w:val="clear" w:color="auto" w:fill="auto"/>
            <w:noWrap/>
            <w:vAlign w:val="center"/>
            <w:hideMark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3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149" w:type="pct"/>
            <w:shd w:val="clear" w:color="auto" w:fill="auto"/>
            <w:noWrap/>
            <w:vAlign w:val="center"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3B3E1F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119 500 000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3B3E1F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127 082 286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3B3E1F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7 582 286</w:t>
            </w:r>
          </w:p>
        </w:tc>
      </w:tr>
      <w:tr w:rsidR="003B3E1F" w:rsidRPr="003B3E1F" w:rsidTr="00CE4410">
        <w:trPr>
          <w:trHeight w:val="435"/>
        </w:trPr>
        <w:tc>
          <w:tcPr>
            <w:tcW w:w="1433" w:type="pct"/>
            <w:shd w:val="clear" w:color="auto" w:fill="auto"/>
            <w:noWrap/>
            <w:vAlign w:val="center"/>
            <w:hideMark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3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</w:t>
            </w:r>
          </w:p>
        </w:tc>
        <w:tc>
          <w:tcPr>
            <w:tcW w:w="1149" w:type="pct"/>
            <w:shd w:val="clear" w:color="auto" w:fill="auto"/>
            <w:noWrap/>
            <w:vAlign w:val="center"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3B3E1F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76 204 185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3B3E1F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78 325 083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3B3E1F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2 120 898</w:t>
            </w:r>
          </w:p>
        </w:tc>
      </w:tr>
      <w:tr w:rsidR="003B3E1F" w:rsidRPr="003B3E1F" w:rsidTr="00CE4410">
        <w:trPr>
          <w:trHeight w:val="435"/>
        </w:trPr>
        <w:tc>
          <w:tcPr>
            <w:tcW w:w="1433" w:type="pct"/>
            <w:shd w:val="clear" w:color="auto" w:fill="auto"/>
            <w:noWrap/>
            <w:vAlign w:val="center"/>
            <w:hideMark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3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</w:p>
        </w:tc>
        <w:tc>
          <w:tcPr>
            <w:tcW w:w="1149" w:type="pct"/>
            <w:shd w:val="clear" w:color="auto" w:fill="auto"/>
            <w:noWrap/>
            <w:vAlign w:val="center"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3B3E1F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140 000 000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3B3E1F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156 368 540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3B3E1F" w:rsidRPr="003B3E1F" w:rsidRDefault="003B3E1F" w:rsidP="003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3B3E1F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16 368 540</w:t>
            </w:r>
          </w:p>
        </w:tc>
      </w:tr>
    </w:tbl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/>
    <w:p w:rsidR="009723E6" w:rsidRDefault="009723E6"/>
    <w:sectPr w:rsidR="009723E6" w:rsidSect="00450D8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56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DA" w:rsidRDefault="00CA74DA">
      <w:pPr>
        <w:spacing w:after="0" w:line="240" w:lineRule="auto"/>
      </w:pPr>
      <w:r>
        <w:separator/>
      </w:r>
    </w:p>
  </w:endnote>
  <w:endnote w:type="continuationSeparator" w:id="0">
    <w:p w:rsidR="00CA74DA" w:rsidRDefault="00CA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5EC" w:rsidRDefault="00CA74DA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45EC" w:rsidRDefault="00CA74DA" w:rsidP="004726E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68" w:rsidRDefault="003B3E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2475">
      <w:rPr>
        <w:noProof/>
      </w:rPr>
      <w:t>1</w:t>
    </w:r>
    <w:r>
      <w:rPr>
        <w:noProof/>
      </w:rPr>
      <w:fldChar w:fldCharType="end"/>
    </w:r>
  </w:p>
  <w:p w:rsidR="00147568" w:rsidRDefault="00CA7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DA" w:rsidRDefault="00CA74DA">
      <w:pPr>
        <w:spacing w:after="0" w:line="240" w:lineRule="auto"/>
      </w:pPr>
      <w:r>
        <w:separator/>
      </w:r>
    </w:p>
  </w:footnote>
  <w:footnote w:type="continuationSeparator" w:id="0">
    <w:p w:rsidR="00CA74DA" w:rsidRDefault="00CA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75" w:rsidRDefault="00023175">
    <w:pPr>
      <w:pStyle w:val="Header"/>
    </w:pPr>
  </w:p>
  <w:p w:rsidR="000F7DF8" w:rsidRPr="000F7DF8" w:rsidRDefault="00CA74DA" w:rsidP="000F7D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F"/>
    <w:rsid w:val="00023175"/>
    <w:rsid w:val="003B3E1F"/>
    <w:rsid w:val="004C11FC"/>
    <w:rsid w:val="009723E6"/>
    <w:rsid w:val="00A43690"/>
    <w:rsid w:val="00CA74DA"/>
    <w:rsid w:val="00C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B3E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semiHidden/>
    <w:unhideWhenUsed/>
    <w:rsid w:val="003B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E1F"/>
  </w:style>
  <w:style w:type="character" w:customStyle="1" w:styleId="Heading2Char">
    <w:name w:val="Heading 2 Char"/>
    <w:basedOn w:val="DefaultParagraphFont"/>
    <w:link w:val="Heading2"/>
    <w:uiPriority w:val="9"/>
    <w:semiHidden/>
    <w:rsid w:val="003B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3B3E1F"/>
  </w:style>
  <w:style w:type="character" w:styleId="Hyperlink">
    <w:name w:val="Hyperlink"/>
    <w:rsid w:val="003B3E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B3E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semiHidden/>
    <w:unhideWhenUsed/>
    <w:rsid w:val="003B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E1F"/>
  </w:style>
  <w:style w:type="character" w:customStyle="1" w:styleId="Heading2Char">
    <w:name w:val="Heading 2 Char"/>
    <w:basedOn w:val="DefaultParagraphFont"/>
    <w:link w:val="Heading2"/>
    <w:uiPriority w:val="9"/>
    <w:semiHidden/>
    <w:rsid w:val="003B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3B3E1F"/>
  </w:style>
  <w:style w:type="character" w:styleId="Hyperlink">
    <w:name w:val="Hyperlink"/>
    <w:rsid w:val="003B3E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75BE-B7CA-43CB-9546-41C7E05E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2</cp:revision>
  <cp:lastPrinted>2021-08-17T12:00:00Z</cp:lastPrinted>
  <dcterms:created xsi:type="dcterms:W3CDTF">2021-10-01T13:45:00Z</dcterms:created>
  <dcterms:modified xsi:type="dcterms:W3CDTF">2021-10-01T13:45:00Z</dcterms:modified>
</cp:coreProperties>
</file>