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18" w:rsidRDefault="00581209">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БЮДЖЕТА НА НАЦИОНАЛНАТА ЗДРАВНООСИГУРИТЕЛНА КАСА ЗА 2022 Г.</w:t>
      </w:r>
    </w:p>
    <w:p w:rsidR="00426718" w:rsidRDefault="00581209">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01.01.2022 г.</w:t>
      </w:r>
    </w:p>
    <w:p w:rsidR="00426718" w:rsidRDefault="00581209">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бр.18 от 4 Март 2022г.</w:t>
      </w:r>
    </w:p>
    <w:p w:rsidR="00426718" w:rsidRDefault="00581209">
      <w:pPr>
        <w:spacing w:after="0" w:line="240" w:lineRule="auto"/>
        <w:ind w:firstLine="851"/>
        <w:divId w:val="2107264095"/>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Приема бюджета на Националната здравноосигурителна каса (НЗОК) за 2022 г. по приходи и трансфери - всичко на обща сума 6 050 749,9 хил. лв., както следва:</w:t>
      </w:r>
    </w:p>
    <w:p w:rsidR="00426718" w:rsidRDefault="00426718">
      <w:pPr>
        <w:spacing w:after="0" w:line="240" w:lineRule="auto"/>
        <w:divId w:val="920337189"/>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679"/>
        <w:gridCol w:w="7462"/>
        <w:gridCol w:w="1188"/>
      </w:tblGrid>
      <w:tr w:rsidR="00426718">
        <w:trPr>
          <w:divId w:val="920337189"/>
          <w:trHeight w:val="283"/>
          <w:tblHeader/>
        </w:trPr>
        <w:tc>
          <w:tcPr>
            <w:tcW w:w="68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74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119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w:t>
            </w:r>
          </w:p>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(в хил. лв.)</w:t>
            </w:r>
          </w:p>
        </w:tc>
      </w:tr>
      <w:tr w:rsidR="00426718">
        <w:trPr>
          <w:divId w:val="920337189"/>
          <w:trHeight w:val="283"/>
          <w:tblHeader/>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ПРИХОДИ И ТРАНСФЕРИ - ВСИЧКО</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6 050 749,9</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приходи</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5 802 517,1</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вноски</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3 759 192,6</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Трансфери за здравно осигуряване</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2 043 324,5</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Неданъчни приходи</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23 162,2</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Получени трансфери от Министерството на здравеопазването за:</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106 570,6</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3.1.</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6 576,0</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3.2.</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8 789,0</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3.3.</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16 035,0</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3.4.</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37 170,6</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3.5.</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38 000,0</w:t>
            </w:r>
          </w:p>
        </w:tc>
      </w:tr>
      <w:tr w:rsidR="00426718">
        <w:trPr>
          <w:divId w:val="920337189"/>
          <w:trHeight w:val="283"/>
        </w:trPr>
        <w:tc>
          <w:tcPr>
            <w:tcW w:w="68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74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Трансфери от централния бюджет по чл. 5</w:t>
            </w:r>
          </w:p>
        </w:tc>
        <w:tc>
          <w:tcPr>
            <w:tcW w:w="11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118 500,0</w:t>
            </w:r>
          </w:p>
        </w:tc>
      </w:tr>
    </w:tbl>
    <w:p w:rsidR="00426718" w:rsidRDefault="00426718">
      <w:pPr>
        <w:spacing w:after="0" w:line="240" w:lineRule="auto"/>
        <w:divId w:val="920337189"/>
        <w:rPr>
          <w:rFonts w:ascii="Times New Roman" w:eastAsia="Times New Roman" w:hAnsi="Times New Roman" w:cs="Times New Roman"/>
          <w:sz w:val="24"/>
          <w:szCs w:val="24"/>
        </w:rPr>
      </w:pPr>
    </w:p>
    <w:p w:rsidR="00426718" w:rsidRDefault="00581209">
      <w:pPr>
        <w:spacing w:after="0" w:line="240" w:lineRule="auto"/>
        <w:ind w:firstLine="851"/>
        <w:divId w:val="17688884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бюджета на НЗОК за 2022 г. по разходи и трансфери - всичко на обща сума 6 050 749,9 хил. лв., както следва:</w:t>
      </w:r>
    </w:p>
    <w:p w:rsidR="00426718" w:rsidRDefault="00426718">
      <w:pPr>
        <w:spacing w:after="0" w:line="240" w:lineRule="auto"/>
        <w:divId w:val="920337189"/>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194"/>
        <w:gridCol w:w="7077"/>
        <w:gridCol w:w="1058"/>
      </w:tblGrid>
      <w:tr w:rsidR="00426718">
        <w:trPr>
          <w:divId w:val="920337189"/>
          <w:trHeight w:val="283"/>
          <w:tblHeader/>
        </w:trPr>
        <w:tc>
          <w:tcPr>
            <w:tcW w:w="9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73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107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Сума</w:t>
            </w:r>
          </w:p>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(в хил. лв.)</w:t>
            </w:r>
          </w:p>
        </w:tc>
      </w:tr>
      <w:tr w:rsidR="00426718">
        <w:trPr>
          <w:divId w:val="920337189"/>
          <w:trHeight w:val="283"/>
          <w:tblHeader/>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II.</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РАЗХОДИ И ТРАНСФЕРИ - ВСИЧКО</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6 050 749,9</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Разходи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6 050 749,9</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Текущи разходи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5 871 674,4</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Разходи за персонал</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56 223,7</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Издръжка на административните дейности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30 610,0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5 678 270,1</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първична извънболнична медицинска помощ</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363 710,9</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специализирана извънболнична медицинска помощ (включително за комплексно диспансерно (амбулаторно) наблюдение)</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380 229,0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1.1.3.3.</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дентална помощ</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239 709,8</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1.1.3.4.</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медико-диагностична дейност</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207 286,0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болничната медицинска помощ, които НЗОК заплаща извън стойността на оказваните медицински услуги: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1 510 452,8</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заплащане на изпълнени електронни предписания с предписани лекарствени продукти за домашно лечение на територията на страната, чието ниво на заплащане е 100 на сто</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30 000,0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медицински изделия и диетични храни за специални медицински цели за домашно лечение на територията на страната</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25 979,4</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1.1.3.5.3.</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821 889,8</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1.1.3.5.3.1.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назначени с протокол, за които се извършва експертиза</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519 789,8</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1.1.3.5.3.2.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за които не се изисква протокол</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302 100,0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1.1.3.5.4.</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 медицинска помощ, които НЗОК заплаща извън стойността на оказваните медицински услуги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632 583,6</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1.1.3.6.</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медицински изделия, прилагани в болничната медицинска помощ, които НЗОК заплаща извън стойността на оказваните медицински услуги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115 982,0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1.1.3.7.</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здравноосигурителни плащания за болнична медицинска помощ и плащания с трансфер от централния бюджет по чл.</w:t>
            </w:r>
            <w:r>
              <w:rPr>
                <w:rFonts w:ascii="Times New Roman" w:hAnsi="Times New Roman" w:cs="Times New Roman"/>
                <w:sz w:val="24"/>
                <w:szCs w:val="24"/>
              </w:rPr>
              <w:t xml:space="preserve"> </w:t>
            </w:r>
            <w:r>
              <w:rPr>
                <w:rFonts w:ascii="Times New Roman" w:hAnsi="Times New Roman" w:cs="Times New Roman"/>
                <w:color w:val="000000"/>
                <w:sz w:val="24"/>
                <w:szCs w:val="24"/>
              </w:rPr>
              <w:t>5</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2 750 899,6</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1.1.3.7.1.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здравноосигурителни плащания за болнична медицинска помощ</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2 632 399,6</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1.1.3.7.2.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плащания с трансфер от централния бюджет по чл.</w:t>
            </w:r>
            <w:r>
              <w:rPr>
                <w:rFonts w:ascii="Times New Roman" w:hAnsi="Times New Roman" w:cs="Times New Roman"/>
                <w:sz w:val="24"/>
                <w:szCs w:val="24"/>
              </w:rPr>
              <w:t xml:space="preserve"> </w:t>
            </w:r>
            <w:r>
              <w:rPr>
                <w:rFonts w:ascii="Times New Roman" w:hAnsi="Times New Roman" w:cs="Times New Roman"/>
                <w:color w:val="000000"/>
                <w:sz w:val="24"/>
                <w:szCs w:val="24"/>
              </w:rPr>
              <w:t>5</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118 500,0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1.1.3.8.</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други здравноосигурителни плащания</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110 000,0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1.1.3.8.1.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т.ч. за медицинска помощ, оказана в съответствие с правилата за координация на системите за социална сигурност, както и за поставяне на ваксини срещу</w:t>
            </w:r>
            <w:r>
              <w:rPr>
                <w:rFonts w:ascii="Times New Roman" w:hAnsi="Times New Roman" w:cs="Times New Roman"/>
                <w:sz w:val="24"/>
                <w:szCs w:val="24"/>
              </w:rPr>
              <w:t xml:space="preserve"> </w:t>
            </w:r>
            <w:r>
              <w:rPr>
                <w:rFonts w:ascii="Times New Roman" w:hAnsi="Times New Roman" w:cs="Times New Roman"/>
                <w:color w:val="000000"/>
                <w:sz w:val="24"/>
                <w:szCs w:val="24"/>
              </w:rPr>
              <w:t>COVID-19 за здравноосигурени лица</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110 000,0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1.1.4.</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Плащания от трансфери от Министерството на здравеопазването по ал. 1, ред 3 за:</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106 570,6</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1.1.4.1.</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6 576,0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1.1.4.2.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8 789,0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1.1.4.3.</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16 035,0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1.1.4.4.</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37 170,6</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1.1.4.5.</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38 000,0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1.2.</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Придобиване на нефинансови активи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5 000,0</w:t>
            </w:r>
          </w:p>
        </w:tc>
      </w:tr>
      <w:tr w:rsidR="00426718">
        <w:trPr>
          <w:divId w:val="920337189"/>
          <w:trHeight w:val="283"/>
        </w:trPr>
        <w:tc>
          <w:tcPr>
            <w:tcW w:w="9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730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Резерв, включително за непредвидени и неотложни разходи</w:t>
            </w:r>
          </w:p>
        </w:tc>
        <w:tc>
          <w:tcPr>
            <w:tcW w:w="10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426718" w:rsidRDefault="0058120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174 075,5</w:t>
            </w:r>
          </w:p>
        </w:tc>
      </w:tr>
    </w:tbl>
    <w:p w:rsidR="00426718" w:rsidRDefault="00426718">
      <w:pPr>
        <w:spacing w:after="240" w:line="240" w:lineRule="auto"/>
        <w:divId w:val="920337189"/>
        <w:rPr>
          <w:rFonts w:ascii="Times New Roman" w:eastAsia="Times New Roman" w:hAnsi="Times New Roman" w:cs="Times New Roman"/>
          <w:sz w:val="24"/>
          <w:szCs w:val="24"/>
        </w:rPr>
      </w:pPr>
    </w:p>
    <w:p w:rsidR="00426718" w:rsidRDefault="00581209">
      <w:pPr>
        <w:spacing w:after="0" w:line="240" w:lineRule="auto"/>
        <w:ind w:firstLine="851"/>
        <w:divId w:val="6851346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бюджета на НЗОК за 2022 г. с балансирано бюджетно салдо.</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347221633"/>
        <w:rPr>
          <w:rFonts w:ascii="Times New Roman" w:eastAsia="Times New Roman" w:hAnsi="Times New Roman" w:cs="Times New Roman"/>
          <w:sz w:val="24"/>
          <w:szCs w:val="24"/>
        </w:rPr>
      </w:pPr>
      <w:r>
        <w:rPr>
          <w:rFonts w:ascii="Times New Roman" w:eastAsia="Times New Roman" w:hAnsi="Times New Roman" w:cs="Times New Roman"/>
          <w:sz w:val="24"/>
          <w:szCs w:val="24"/>
        </w:rPr>
        <w:t>Чл. 2. Размерът на задължителната здравноосигурителна вноска за 2022 г. е 8 на сто.</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385565672"/>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В рамките на стойностите по чл. 1, ал. 2, ред 1.1.3.2 и ред 1.1.3.4 за прилагане на чл. 55а от Закона за здравното осигуряване, на Националния рамков договор (НРД)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 НЗОК утвърждава за всяка районна здравноосигурителна каса (РЗОК) и за всяко тримесечие към договорите с изпълнителите на извънболнична първична и на извънболнична специализирана медицинска помощ:</w:t>
      </w:r>
    </w:p>
    <w:p w:rsidR="00426718" w:rsidRDefault="00581209">
      <w:pPr>
        <w:spacing w:after="0" w:line="240" w:lineRule="auto"/>
        <w:ind w:firstLine="851"/>
        <w:divId w:val="177083331"/>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броя на назначаваните специализирани медицински дейности в съответствие с чл. 1, ал. 2, ред 1.1.3.2 от пакета по чл. 2, ал. 1 от Закона за здравното осигуряване;</w:t>
      </w:r>
    </w:p>
    <w:p w:rsidR="00426718" w:rsidRDefault="00581209">
      <w:pPr>
        <w:spacing w:after="0" w:line="240" w:lineRule="auto"/>
        <w:ind w:firstLine="851"/>
        <w:divId w:val="1079908854"/>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назначаваните медико-диагностични дейности в съответствие с чл. 1, ал. 2, ред 1.1.3.4 от пакета по чл. 2, ал. 1 от Закона за здравното осигуряване.</w:t>
      </w:r>
    </w:p>
    <w:p w:rsidR="00426718" w:rsidRDefault="00581209">
      <w:pPr>
        <w:spacing w:after="0" w:line="240" w:lineRule="auto"/>
        <w:ind w:firstLine="851"/>
        <w:divId w:val="1927572262"/>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РЗОК в рамките на броя и стойностите по ал. 1:</w:t>
      </w:r>
    </w:p>
    <w:p w:rsidR="00426718" w:rsidRDefault="00581209">
      <w:pPr>
        <w:spacing w:after="0" w:line="240" w:lineRule="auto"/>
        <w:ind w:firstLine="851"/>
        <w:divId w:val="93232080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разпределят утвърдените брой и стойности на дейностите по ал. 1 по изпълнители на извънболнична първична и на извънболнична специализирана медицинска помощ за съответната РЗОК;</w:t>
      </w:r>
    </w:p>
    <w:p w:rsidR="00426718" w:rsidRDefault="00581209">
      <w:pPr>
        <w:spacing w:after="0" w:line="240" w:lineRule="auto"/>
        <w:ind w:firstLine="851"/>
        <w:divId w:val="214388604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закупуват от изпълнителите на специализирана извънболнична медицинска помощ обеми в рамките на стойностите по чл. 1, ал. 2, ред 1.1.3.2 и от изпълнителите на медико-диагностична дейност - обеми в рамките на стойностите по чл. 1, ал. 2, ред 1.1.3.4;</w:t>
      </w:r>
    </w:p>
    <w:p w:rsidR="00426718" w:rsidRDefault="00581209">
      <w:pPr>
        <w:spacing w:after="0" w:line="240" w:lineRule="auto"/>
        <w:ind w:firstLine="851"/>
        <w:divId w:val="1354110161"/>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анализират и отчитат тримесечно пред Надзорния съвет на НЗОК дейността си по т. 1 и 2.</w:t>
      </w:r>
    </w:p>
    <w:p w:rsidR="00426718" w:rsidRDefault="00581209">
      <w:pPr>
        <w:spacing w:after="0" w:line="240" w:lineRule="auto"/>
        <w:ind w:firstLine="851"/>
        <w:divId w:val="831221148"/>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на НЗОК приема правила за условията и реда за прилагане на ал. 1 и 2.</w:t>
      </w:r>
    </w:p>
    <w:p w:rsidR="00426718" w:rsidRDefault="00581209">
      <w:pPr>
        <w:spacing w:after="0" w:line="240" w:lineRule="auto"/>
        <w:ind w:firstLine="851"/>
        <w:divId w:val="596207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Условията и редът за наблюдение, анализ и контрол по изпълнението на обемите по чл. 55а от Закона за здравното осигуряване и на стойностите по ал. 1 се определят в Националния рамков договор за медицинските дейности за 2020 - 2022 г. и анексите по чл. 53, ал. 3 от Закона за здравното осигуряване, а когато не са приети такива - в решението по чл. 54, ал. 9 от Закона за здравното осигуряване.</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72005567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В рамките на стойностите по чл. 1, ал. 2, ред 1.1.3.5.4, ред 1.1.3.6 и ред 1.1.3.7 за прилагане на чл. 55а от Закона за здравното осигуряване и на Националния рамков договор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w:t>
      </w:r>
    </w:p>
    <w:p w:rsidR="00426718" w:rsidRDefault="00581209">
      <w:pPr>
        <w:spacing w:after="0" w:line="240" w:lineRule="auto"/>
        <w:ind w:firstLine="851"/>
        <w:divId w:val="278882043"/>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Надзорният съвет на НЗОК:</w:t>
      </w:r>
    </w:p>
    <w:p w:rsidR="00426718" w:rsidRDefault="00581209">
      <w:pPr>
        <w:spacing w:after="0" w:line="240" w:lineRule="auto"/>
        <w:ind w:firstLine="851"/>
        <w:divId w:val="1550411735"/>
        <w:rPr>
          <w:rFonts w:ascii="Times New Roman" w:eastAsia="Times New Roman" w:hAnsi="Times New Roman" w:cs="Times New Roman"/>
          <w:sz w:val="24"/>
          <w:szCs w:val="24"/>
        </w:rPr>
      </w:pPr>
      <w:r>
        <w:rPr>
          <w:rFonts w:ascii="Times New Roman" w:eastAsia="Times New Roman" w:hAnsi="Times New Roman" w:cs="Times New Roman"/>
          <w:sz w:val="24"/>
          <w:szCs w:val="24"/>
        </w:rPr>
        <w:t>а) утвърждава за всяка РЗОК годишна обща стойност на разходите за здравноосигурителни плащания, разпределена по месеци;</w:t>
      </w:r>
    </w:p>
    <w:p w:rsidR="00426718" w:rsidRDefault="00581209">
      <w:pPr>
        <w:spacing w:after="0" w:line="240" w:lineRule="auto"/>
        <w:ind w:firstLine="851"/>
        <w:divId w:val="955136937"/>
        <w:rPr>
          <w:rFonts w:ascii="Times New Roman" w:eastAsia="Times New Roman" w:hAnsi="Times New Roman" w:cs="Times New Roman"/>
          <w:sz w:val="24"/>
          <w:szCs w:val="24"/>
        </w:rPr>
      </w:pPr>
      <w:r>
        <w:rPr>
          <w:rFonts w:ascii="Times New Roman" w:eastAsia="Times New Roman" w:hAnsi="Times New Roman" w:cs="Times New Roman"/>
          <w:sz w:val="24"/>
          <w:szCs w:val="24"/>
        </w:rPr>
        <w:t>б) утвърждава стойности на разходите по буква "а" и по изпълнители на болнична медицинска помощ, разпределена по месеци;</w:t>
      </w:r>
    </w:p>
    <w:p w:rsidR="00426718" w:rsidRDefault="00581209">
      <w:pPr>
        <w:spacing w:after="0" w:line="240" w:lineRule="auto"/>
        <w:ind w:firstLine="851"/>
        <w:divId w:val="1415319644"/>
        <w:rPr>
          <w:rFonts w:ascii="Times New Roman" w:eastAsia="Times New Roman" w:hAnsi="Times New Roman" w:cs="Times New Roman"/>
          <w:sz w:val="24"/>
          <w:szCs w:val="24"/>
        </w:rPr>
      </w:pPr>
      <w:r>
        <w:rPr>
          <w:rFonts w:ascii="Times New Roman" w:eastAsia="Times New Roman" w:hAnsi="Times New Roman" w:cs="Times New Roman"/>
          <w:sz w:val="24"/>
          <w:szCs w:val="24"/>
        </w:rPr>
        <w:t>в) наблюдава, анализира и коригира стойността на разходите по буква "а" на тримесечие;</w:t>
      </w:r>
    </w:p>
    <w:p w:rsidR="00426718" w:rsidRDefault="00581209">
      <w:pPr>
        <w:spacing w:after="0" w:line="240" w:lineRule="auto"/>
        <w:ind w:firstLine="851"/>
        <w:divId w:val="46747613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РЗОК:</w:t>
      </w:r>
    </w:p>
    <w:p w:rsidR="00426718" w:rsidRDefault="00581209">
      <w:pPr>
        <w:spacing w:after="0" w:line="240" w:lineRule="auto"/>
        <w:ind w:firstLine="851"/>
        <w:divId w:val="77575687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предлагат на Надзорния съвет на НЗОК чрез управителя на НЗОК стойностите на разходите по т. 1, букви "а" и "б", разпределени по месеци и по изпълнители на болнична медицинска помощ за съответната РЗОК, и наблюдават разходването на утвърдените стойности на разходите по т. 1, букви "а" и "б" по месеци и на тримесечие;</w:t>
      </w:r>
    </w:p>
    <w:p w:rsidR="00426718" w:rsidRDefault="00581209">
      <w:pPr>
        <w:spacing w:after="0" w:line="240" w:lineRule="auto"/>
        <w:ind w:firstLine="851"/>
        <w:divId w:val="411121272"/>
        <w:rPr>
          <w:rFonts w:ascii="Times New Roman" w:eastAsia="Times New Roman" w:hAnsi="Times New Roman" w:cs="Times New Roman"/>
          <w:sz w:val="24"/>
          <w:szCs w:val="24"/>
        </w:rPr>
      </w:pPr>
      <w:r>
        <w:rPr>
          <w:rFonts w:ascii="Times New Roman" w:eastAsia="Times New Roman" w:hAnsi="Times New Roman" w:cs="Times New Roman"/>
          <w:sz w:val="24"/>
          <w:szCs w:val="24"/>
        </w:rPr>
        <w:t>б) закупуват от изпълнителите на болнична медицинска помощ обем здравни дейности от пакета по чл. 2, ал. 1 от Закона за здравното осигуряване в рамките на стойностите по т. 1, буква "а";</w:t>
      </w:r>
    </w:p>
    <w:p w:rsidR="00426718" w:rsidRDefault="00581209">
      <w:pPr>
        <w:spacing w:after="0" w:line="240" w:lineRule="auto"/>
        <w:ind w:firstLine="851"/>
        <w:divId w:val="834150092"/>
        <w:rPr>
          <w:rFonts w:ascii="Times New Roman" w:eastAsia="Times New Roman" w:hAnsi="Times New Roman" w:cs="Times New Roman"/>
          <w:sz w:val="24"/>
          <w:szCs w:val="24"/>
        </w:rPr>
      </w:pPr>
      <w:r>
        <w:rPr>
          <w:rFonts w:ascii="Times New Roman" w:eastAsia="Times New Roman" w:hAnsi="Times New Roman" w:cs="Times New Roman"/>
          <w:sz w:val="24"/>
          <w:szCs w:val="24"/>
        </w:rPr>
        <w:t>в) анализират и отчитат на тримесечие пред Надзорния съвет на НЗОК дейността си по букви "а" и "б".</w:t>
      </w:r>
    </w:p>
    <w:p w:rsidR="00426718" w:rsidRDefault="00581209">
      <w:pPr>
        <w:spacing w:after="0" w:line="240" w:lineRule="auto"/>
        <w:ind w:firstLine="851"/>
        <w:divId w:val="91782882"/>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Надзорният съвет на НЗОК анализира и контролира стойностите по ал. 1, т. 2, буква "а" на тримесечие.</w:t>
      </w:r>
    </w:p>
    <w:p w:rsidR="00426718" w:rsidRDefault="00581209">
      <w:pPr>
        <w:spacing w:after="0" w:line="240" w:lineRule="auto"/>
        <w:ind w:firstLine="851"/>
        <w:divId w:val="1578126904"/>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на НЗОК наблюдава и контролира дейността по ал. 1, т. 2, буква "б" на тримесечие.</w:t>
      </w:r>
    </w:p>
    <w:p w:rsidR="00426718" w:rsidRDefault="00581209">
      <w:pPr>
        <w:spacing w:after="0" w:line="240" w:lineRule="auto"/>
        <w:ind w:firstLine="851"/>
        <w:divId w:val="1700543364"/>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Надзорният съвет на НЗОК приема правила за условията и реда за прилагане на ал. 1, 2 и 3.</w:t>
      </w:r>
    </w:p>
    <w:p w:rsidR="00426718" w:rsidRDefault="00581209">
      <w:pPr>
        <w:spacing w:after="0" w:line="240" w:lineRule="auto"/>
        <w:ind w:firstLine="851"/>
        <w:divId w:val="130069614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наблюдение, анализ и контрол по изпълнението на обемите по чл. 55а от Закона за здравното осигуряване и на стойностите по ал. 1 от изпълнителите на болнична медицинска помощ се определят в Националния рамков договор за медицинските дейности за 2020 - 2022 г. и в анексите по чл. 53, ал. 3 от Закона за здравното осигуряване, а когато не са приети такива - в решението по чл. 54, ал. 9 от Закона за здравното осигуряване.</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763529568"/>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За срока на обявена извънредна епидемична обстановка поради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на допълнителни трудови възнаграждения на персонала на изпълнителите на болнична медицинска помощ за всеки месец, както следва:</w:t>
      </w:r>
    </w:p>
    <w:p w:rsidR="00426718" w:rsidRDefault="00581209">
      <w:pPr>
        <w:spacing w:after="0" w:line="240" w:lineRule="auto"/>
        <w:ind w:firstLine="851"/>
        <w:divId w:val="957684515"/>
        <w:rPr>
          <w:rFonts w:ascii="Times New Roman" w:eastAsia="Times New Roman" w:hAnsi="Times New Roman" w:cs="Times New Roman"/>
          <w:sz w:val="24"/>
          <w:szCs w:val="24"/>
        </w:rPr>
      </w:pPr>
      <w:r>
        <w:rPr>
          <w:rFonts w:ascii="Times New Roman" w:eastAsia="Times New Roman" w:hAnsi="Times New Roman" w:cs="Times New Roman"/>
          <w:sz w:val="24"/>
          <w:szCs w:val="24"/>
        </w:rPr>
        <w:t>1. на лекари - в брутен размер на 600 лв.;</w:t>
      </w:r>
    </w:p>
    <w:p w:rsidR="00426718" w:rsidRDefault="00581209">
      <w:pPr>
        <w:spacing w:after="0" w:line="240" w:lineRule="auto"/>
        <w:ind w:firstLine="851"/>
        <w:divId w:val="630400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магистър-фармацевти, които работят в аптека по чл. 222, ал. 4, т. 1, 2 и 3 от Закона за лекарствените продукти в хуманната медицина - в брутен размер на 600 лв.;</w:t>
      </w:r>
    </w:p>
    <w:p w:rsidR="00426718" w:rsidRDefault="00581209">
      <w:pPr>
        <w:spacing w:after="0" w:line="240" w:lineRule="auto"/>
        <w:ind w:firstLine="851"/>
        <w:divId w:val="2591304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медицинските сестри, акушерките и асоциираните медицински специалисти по смисъла на § 1, т. 1 от Закона за съсловните организации на медицинските сестри, акушерките и на асоциираните медицински специалисти, на зъботехниците и на помощник-фармацевтите - в брутен размер на 360 лв.;</w:t>
      </w:r>
    </w:p>
    <w:p w:rsidR="00426718" w:rsidRDefault="00581209">
      <w:pPr>
        <w:spacing w:after="0" w:line="240" w:lineRule="auto"/>
        <w:ind w:firstLine="851"/>
        <w:divId w:val="625501406"/>
        <w:rPr>
          <w:rFonts w:ascii="Times New Roman" w:eastAsia="Times New Roman" w:hAnsi="Times New Roman" w:cs="Times New Roman"/>
          <w:sz w:val="24"/>
          <w:szCs w:val="24"/>
        </w:rPr>
      </w:pPr>
      <w:r>
        <w:rPr>
          <w:rFonts w:ascii="Times New Roman" w:eastAsia="Times New Roman" w:hAnsi="Times New Roman" w:cs="Times New Roman"/>
          <w:sz w:val="24"/>
          <w:szCs w:val="24"/>
        </w:rPr>
        <w:t>4. на помощник-фармацевти, които работят в аптека по чл. 222, ал. 4, т. 1, 2 и 3 от Закона за лекарствените продукти в хуманната медицина - в брутен размер на 360 лв.;</w:t>
      </w:r>
    </w:p>
    <w:p w:rsidR="00426718" w:rsidRDefault="00581209">
      <w:pPr>
        <w:spacing w:after="0" w:line="240" w:lineRule="auto"/>
        <w:ind w:firstLine="851"/>
        <w:divId w:val="1143615696"/>
        <w:rPr>
          <w:rFonts w:ascii="Times New Roman" w:eastAsia="Times New Roman" w:hAnsi="Times New Roman" w:cs="Times New Roman"/>
          <w:sz w:val="24"/>
          <w:szCs w:val="24"/>
        </w:rPr>
      </w:pPr>
      <w:r>
        <w:rPr>
          <w:rFonts w:ascii="Times New Roman" w:eastAsia="Times New Roman" w:hAnsi="Times New Roman" w:cs="Times New Roman"/>
          <w:sz w:val="24"/>
          <w:szCs w:val="24"/>
        </w:rPr>
        <w:t>5. на санитари - в брутен размер на 120 лв.</w:t>
      </w:r>
    </w:p>
    <w:p w:rsidR="00426718" w:rsidRDefault="00581209">
      <w:pPr>
        <w:spacing w:after="0" w:line="240" w:lineRule="auto"/>
        <w:ind w:firstLine="851"/>
        <w:divId w:val="9356012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трудови възнаграждения по ал. 1, т. 1 и 2 не се изплащат на лекари и на магистър-фармацевти, чиято брутна работна заплата надвишава 5000 лв. месечно.</w:t>
      </w:r>
    </w:p>
    <w:p w:rsidR="00426718" w:rsidRDefault="00581209">
      <w:pPr>
        <w:spacing w:after="0" w:line="240" w:lineRule="auto"/>
        <w:ind w:firstLine="851"/>
        <w:divId w:val="1754862050"/>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се отчитат в рамките на стойностите по чл. 1, ал. 2, ред 1.1.3.7.2.</w:t>
      </w:r>
    </w:p>
    <w:p w:rsidR="00426718" w:rsidRDefault="00581209">
      <w:pPr>
        <w:spacing w:after="0" w:line="240" w:lineRule="auto"/>
        <w:ind w:firstLine="851"/>
        <w:divId w:val="231964279"/>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рамките на стойностите по чл. 1, ал. 2, ред 1.1.3.7.2 за прилагане на ал. 1 Надзорният съвет на НЗОК:</w:t>
      </w:r>
    </w:p>
    <w:p w:rsidR="00426718" w:rsidRDefault="00581209">
      <w:pPr>
        <w:spacing w:after="0" w:line="240" w:lineRule="auto"/>
        <w:ind w:firstLine="851"/>
        <w:divId w:val="1124621384"/>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утвърждава за всяка РЗОК годишна обща стойност на разходите, разпределена по месеци;</w:t>
      </w:r>
    </w:p>
    <w:p w:rsidR="00426718" w:rsidRDefault="00581209">
      <w:pPr>
        <w:spacing w:after="0" w:line="240" w:lineRule="auto"/>
        <w:ind w:firstLine="851"/>
        <w:divId w:val="1346520092"/>
        <w:rPr>
          <w:rFonts w:ascii="Times New Roman" w:eastAsia="Times New Roman" w:hAnsi="Times New Roman" w:cs="Times New Roman"/>
          <w:sz w:val="24"/>
          <w:szCs w:val="24"/>
        </w:rPr>
      </w:pPr>
      <w:r>
        <w:rPr>
          <w:rFonts w:ascii="Times New Roman" w:eastAsia="Times New Roman" w:hAnsi="Times New Roman" w:cs="Times New Roman"/>
          <w:sz w:val="24"/>
          <w:szCs w:val="24"/>
        </w:rPr>
        <w:t>2. утвърждава стойности на разходите по т. 1 и по изпълнители на болнична медицинска помощ, разпределена по месеци;</w:t>
      </w:r>
    </w:p>
    <w:p w:rsidR="00426718" w:rsidRDefault="00581209">
      <w:pPr>
        <w:spacing w:after="0" w:line="240" w:lineRule="auto"/>
        <w:ind w:firstLine="851"/>
        <w:divId w:val="192036093"/>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наблюдава, анализира и коригира стойността на разходите по т. 1 на тримесечие.</w:t>
      </w:r>
    </w:p>
    <w:p w:rsidR="00426718" w:rsidRDefault="00581209">
      <w:pPr>
        <w:spacing w:after="0" w:line="240" w:lineRule="auto"/>
        <w:ind w:firstLine="851"/>
        <w:divId w:val="1647659624"/>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Надзорният съвет на НЗОК приема правила за условията и реда за прилагане на ал. 1 и 2. С правилата се определят и условията и редът за наблюдение, анализ и контрол по изпълнението на разходите по ал. 4.</w:t>
      </w:r>
    </w:p>
    <w:p w:rsidR="00426718" w:rsidRDefault="00581209">
      <w:pPr>
        <w:spacing w:after="0" w:line="240" w:lineRule="auto"/>
        <w:ind w:firstLine="851"/>
        <w:divId w:val="215744895"/>
        <w:rPr>
          <w:rFonts w:ascii="Times New Roman" w:eastAsia="Times New Roman" w:hAnsi="Times New Roman" w:cs="Times New Roman"/>
          <w:sz w:val="24"/>
          <w:szCs w:val="24"/>
        </w:rPr>
      </w:pPr>
      <w:r>
        <w:rPr>
          <w:rFonts w:ascii="Times New Roman" w:eastAsia="Times New Roman" w:hAnsi="Times New Roman" w:cs="Times New Roman"/>
          <w:sz w:val="24"/>
          <w:szCs w:val="24"/>
        </w:rPr>
        <w:t>(6) Средствата по чл. 1, ал. 1, ред 4, неусвоени по реда на ал. 1, се използват по реда на чл. 106 от Закона за държавния бюджет на Република България за 2022 г.</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426718" w:rsidRDefault="00581209">
      <w:pPr>
        <w:spacing w:after="0" w:line="240" w:lineRule="auto"/>
        <w:ind w:firstLine="851"/>
        <w:divId w:val="1483472933"/>
        <w:rPr>
          <w:rFonts w:ascii="Times New Roman" w:eastAsia="Times New Roman" w:hAnsi="Times New Roman" w:cs="Times New Roman"/>
          <w:sz w:val="24"/>
          <w:szCs w:val="24"/>
        </w:rPr>
      </w:pPr>
      <w:r>
        <w:rPr>
          <w:rFonts w:ascii="Times New Roman" w:eastAsia="Times New Roman" w:hAnsi="Times New Roman" w:cs="Times New Roman"/>
          <w:sz w:val="24"/>
          <w:szCs w:val="24"/>
        </w:rPr>
        <w:t>§ 1. (1)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плащания над утвърдените разходи и предоставени трансфери по бюджета на НЗОК по решение на Надзорния съвет на НЗОК.</w:t>
      </w:r>
    </w:p>
    <w:p w:rsidR="00426718" w:rsidRDefault="00581209">
      <w:pPr>
        <w:spacing w:after="0" w:line="240" w:lineRule="auto"/>
        <w:ind w:firstLine="851"/>
        <w:divId w:val="3087054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при анализа на текущото изпълнение към 30 септември 2022 г. на здравноосигурителните плащания за медицински и за дентални дейности се установи очаквано неизпълнение на предвидените разходи към 31 декември 2022 г. на средствата за здравноосигурителни плащания по съответните редове по чл. 1, ал. 2, след осигуряване на финансирането по § 9 оставащите средства може да се използват за плащания само за медицинските и денталните дейности по същите редове при условия и по ред, определени от Надзорния съвет на НЗОК и от Управителния съвет на Българския лекарски съюз, съответно от Българския зъболекарски съюз.</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581015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(1) Министерството на здравеопазването ежемесечно до края на месеца, следващ отчетния, въз основа на получено искане от НЗОК предоставя трансфер към бюджета на НЗОК по чл. 1, ал. 1, ред 3 за финансиране на разходите за лекарствени продукти - ваксини и дейности по прилагането им по чл. 82, ал. 2, т. 3 от Закона за </w:t>
      </w:r>
      <w:r>
        <w:rPr>
          <w:rFonts w:ascii="Times New Roman" w:eastAsia="Times New Roman" w:hAnsi="Times New Roman" w:cs="Times New Roman"/>
          <w:sz w:val="24"/>
          <w:szCs w:val="24"/>
        </w:rPr>
        <w:lastRenderedPageBreak/>
        <w:t>здравето; за дейности за здравно неосигурени лица, включващи: интензивно лечение, комплексно диспансерно (амбулаторно) наблюдение при пациенти с психиатрични заболявания и комплексно диспансерно (амбулаторно) наблюдение при пациенти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Средствата се отчитат по чл. 1, ал. 2, ред 1.1.4, редове 1.1.4.1, 1.1.4.2 и 1.1.4.3.</w:t>
      </w:r>
    </w:p>
    <w:p w:rsidR="00426718" w:rsidRDefault="00581209">
      <w:pPr>
        <w:spacing w:after="0" w:line="240" w:lineRule="auto"/>
        <w:ind w:firstLine="851"/>
        <w:divId w:val="730274047"/>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Трансферът по ал. 1 е в размер на поетото през месеца от НЗОК задължение към лечебните заведения за извършените от тях дейности, съответно към притежателите на разрешения за търговия на едро с лекарствени продукти за доставените и приложени ваксини.</w:t>
      </w:r>
    </w:p>
    <w:p w:rsidR="00426718" w:rsidRDefault="00581209">
      <w:pPr>
        <w:spacing w:after="0" w:line="240" w:lineRule="auto"/>
        <w:ind w:firstLine="851"/>
        <w:divId w:val="2017727645"/>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Трансфер над размера по чл. 1, ал. 1, ред 3 се определя и предоставя от Министерството на здравеопазването при условия и по ред, утвърдени от министъра на здравеопазването и от управителя на НЗОК, след одобрение от Надзорния съвет на НЗОК, без да се нарушава балансът по бюджета на НЗОК.</w:t>
      </w:r>
    </w:p>
    <w:p w:rsidR="00426718" w:rsidRDefault="00581209">
      <w:pPr>
        <w:spacing w:after="0" w:line="240" w:lineRule="auto"/>
        <w:ind w:firstLine="851"/>
        <w:divId w:val="137727136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управителят на НЗОК ежемесечно след отчитане на извършените през предходния месец плащания утвърждава компенсирани промени по показателите по чл. 1, ал. 1, ред 3 и ал. 2, ред 1.1.4, без да се нарушава балансът по бюджета на НЗОК.</w:t>
      </w:r>
    </w:p>
    <w:p w:rsidR="00426718" w:rsidRDefault="00581209">
      <w:pPr>
        <w:spacing w:after="0" w:line="240" w:lineRule="auto"/>
        <w:ind w:firstLine="851"/>
        <w:divId w:val="71007970"/>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Трансферите за 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 се определят и предоставят съгласно чл. 23, ал. 4 от Закона за здравното осигуряване. Средствата се отчитат по чл. 1, ал. 2, ред 1.1.4.4. При необходимост се прилага съответно ал. 4.</w:t>
      </w:r>
    </w:p>
    <w:p w:rsidR="00426718" w:rsidRDefault="00581209">
      <w:pPr>
        <w:spacing w:after="0" w:line="240" w:lineRule="auto"/>
        <w:ind w:firstLine="851"/>
        <w:divId w:val="1057361045"/>
        <w:rPr>
          <w:rFonts w:ascii="Times New Roman" w:eastAsia="Times New Roman" w:hAnsi="Times New Roman" w:cs="Times New Roman"/>
          <w:sz w:val="24"/>
          <w:szCs w:val="24"/>
        </w:rPr>
      </w:pPr>
      <w:r>
        <w:rPr>
          <w:rFonts w:ascii="Times New Roman" w:eastAsia="Times New Roman" w:hAnsi="Times New Roman" w:cs="Times New Roman"/>
          <w:sz w:val="24"/>
          <w:szCs w:val="24"/>
        </w:rPr>
        <w:t>(6) Трансферите за медицински изделия, помощни средства, приспособления и съоръжения за хората с увреждания извън обхвата на задължителното здравно осигуряване се определят и предоставят от Министерството на здравеопазването при условия и по ред, утвърдени от министъра на здравеопазването и от управителя на НЗОК, след одобрение от Надзорния съвет на НЗОК, без да се нарушава балансът по бюджета на НЗОК. Средствата се отчитат по чл. 1, ал. 2, ред 1.1.4.5. При необходимост се прилага съответно ал. 4.</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595599753"/>
        <w:rPr>
          <w:rFonts w:ascii="Times New Roman" w:eastAsia="Times New Roman" w:hAnsi="Times New Roman" w:cs="Times New Roman"/>
          <w:sz w:val="24"/>
          <w:szCs w:val="24"/>
        </w:rPr>
      </w:pPr>
      <w:r>
        <w:rPr>
          <w:rFonts w:ascii="Times New Roman" w:eastAsia="Times New Roman" w:hAnsi="Times New Roman" w:cs="Times New Roman"/>
          <w:sz w:val="24"/>
          <w:szCs w:val="24"/>
        </w:rPr>
        <w:t>§ 3. От държавния бюджет чрез бюджета на Министерството на здравеопазването може да се получават по бюджета на НЗОК целеви субсидии по чл. 23, ал. 1, т. 9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1.1.3.8.1.</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323512388"/>
        <w:rPr>
          <w:rFonts w:ascii="Times New Roman" w:eastAsia="Times New Roman" w:hAnsi="Times New Roman" w:cs="Times New Roman"/>
          <w:sz w:val="24"/>
          <w:szCs w:val="24"/>
        </w:rPr>
      </w:pPr>
      <w:r>
        <w:rPr>
          <w:rFonts w:ascii="Times New Roman" w:eastAsia="Times New Roman" w:hAnsi="Times New Roman" w:cs="Times New Roman"/>
          <w:sz w:val="24"/>
          <w:szCs w:val="24"/>
        </w:rPr>
        <w:t>§ 4. (1) Здравноосигурителни плащания със средства по чл. 1, ал. 2, ред 1.1.3 и плащания от трансфери от Министерството на здравеопазването по чл. 1, ал. 2, ред 1.1.4 по договори, сключени на основание чл. 59, ал. 1 от Закона за здравното осигуряване между разпоредители с бюджет и НЗОК, се отчитат като трансфери по чл. 1.</w:t>
      </w:r>
    </w:p>
    <w:p w:rsidR="00426718" w:rsidRDefault="00581209">
      <w:pPr>
        <w:spacing w:after="0" w:line="240" w:lineRule="auto"/>
        <w:ind w:firstLine="851"/>
        <w:divId w:val="191335025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управителят на НЗОК ежемесечно, след отчитането на извършените през предходния месец плащания, утвърждава компенсирани промени между трансферите по бюджета на НЗОК.</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865800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 (1) Отстъпките за лекарствените продукти, договорени на основание чл. 45, ал. 10 и 21 от Закона за здравното осигуряване, които се възстановяват пряко на НЗОК от притежателя на разрешението за употреба/неговия упълномощен представител, се отчитат в намаление на извършените от НЗОК разходи от средствата по чл. 1, ал. 2, редове 1.1.3.5.3.1, 1.1.3.5.3.2 и 1.1.3.5.4.</w:t>
      </w:r>
    </w:p>
    <w:p w:rsidR="00426718" w:rsidRDefault="00581209">
      <w:pPr>
        <w:spacing w:after="0" w:line="240" w:lineRule="auto"/>
        <w:ind w:firstLine="851"/>
        <w:divId w:val="122356576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Възстановяваните пряко на НЗОК от притежателите на разрешения за употреба/техни упълномощени представители суми при прилагане на механизма, гарантиращ предвидимост и устойчивост на бюджета на НЗОК по чл. 45, ал. 31 от Закона за здравното осигуряване, се отчитат в намаление на извършените от НЗОК разходи от средствата по чл. 1, ал. 2, редове 1.1.3.5.3.1, 1.1.3.5.3.2 и 1.1.3.5.4.</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039739884"/>
        <w:rPr>
          <w:rFonts w:ascii="Times New Roman" w:eastAsia="Times New Roman" w:hAnsi="Times New Roman" w:cs="Times New Roman"/>
          <w:sz w:val="24"/>
          <w:szCs w:val="24"/>
        </w:rPr>
      </w:pPr>
      <w:r>
        <w:rPr>
          <w:rFonts w:ascii="Times New Roman" w:eastAsia="Times New Roman" w:hAnsi="Times New Roman" w:cs="Times New Roman"/>
          <w:sz w:val="24"/>
          <w:szCs w:val="24"/>
        </w:rPr>
        <w:t>§ 6. (1)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w:t>
      </w:r>
    </w:p>
    <w:p w:rsidR="00426718" w:rsidRDefault="00581209">
      <w:pPr>
        <w:spacing w:after="0" w:line="240" w:lineRule="auto"/>
        <w:ind w:firstLine="851"/>
        <w:divId w:val="5292237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ал. 1 се прилага, когато общият размер на преизпълнението на приходите по § 1, намален с допълнителните здравноосигурителни плащания по същия параграф, превишава приходите по ал. 1.</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972712967"/>
        <w:rPr>
          <w:rFonts w:ascii="Times New Roman" w:eastAsia="Times New Roman" w:hAnsi="Times New Roman" w:cs="Times New Roman"/>
          <w:sz w:val="24"/>
          <w:szCs w:val="24"/>
        </w:rPr>
      </w:pPr>
      <w:r>
        <w:rPr>
          <w:rFonts w:ascii="Times New Roman" w:eastAsia="Times New Roman" w:hAnsi="Times New Roman" w:cs="Times New Roman"/>
          <w:sz w:val="24"/>
          <w:szCs w:val="24"/>
        </w:rPr>
        <w:t>§ 7. (1) През 2022 г. средствата за лекарствени продукти по чл. 4, т. 1 от Закона за ветераните от войните на Република България и по чл. 15, ал. 1 и 2 от Закона за военноинвалидите и военнопострадалите, както и целевите средства за диагностика и лечение в лечебни заведения за болнична помощ на лицата по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(обн., ДВ, бр. 13 от 2007 г.; изм., бр. 16 от 2008 г., бр. 13 от 2009 г., бр. 29 от 2011 г., бр. 2 от 2014 г., бр. 56 от 2016 г. и бр. 79 от 2017 г.), са за сметка на държавния бюджет и се изплащат от Агенцията за социално подпомагане чрез НЗОК.</w:t>
      </w:r>
    </w:p>
    <w:p w:rsidR="00426718" w:rsidRDefault="00581209">
      <w:pPr>
        <w:spacing w:after="0" w:line="240" w:lineRule="auto"/>
        <w:ind w:firstLine="851"/>
        <w:divId w:val="1666515464"/>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426718" w:rsidRDefault="00581209">
      <w:pPr>
        <w:spacing w:after="0" w:line="240" w:lineRule="auto"/>
        <w:ind w:firstLine="851"/>
        <w:divId w:val="1930693325"/>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за социално подпомагане превежда на НЗОК целевите средства за извършената диагностика и лечение в лечебни заведения за болнична помощ на правоимащите лица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57842625"/>
        <w:rPr>
          <w:rFonts w:ascii="Times New Roman" w:eastAsia="Times New Roman" w:hAnsi="Times New Roman" w:cs="Times New Roman"/>
          <w:sz w:val="24"/>
          <w:szCs w:val="24"/>
        </w:rPr>
      </w:pPr>
      <w:r>
        <w:rPr>
          <w:rFonts w:ascii="Times New Roman" w:eastAsia="Times New Roman" w:hAnsi="Times New Roman" w:cs="Times New Roman"/>
          <w:sz w:val="24"/>
          <w:szCs w:val="24"/>
        </w:rPr>
        <w:t>§ 8. Надзорният съвет на НЗОК взема решения за разпределяне на средствата по чл. 1, ал. 2, ред 1.3 "Резерв, включително за непредвидени и неотложни разходи" за здравноосигурителни плащания от 1 септември 2022 г., освен за изплащане на сумите по § 9.</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439913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За изплащане на дължимите суми по влезли в сила съдебни решения срещу НЗОК във връзка със здравноосигурителни плащания Надзорният съвет на НЗОК по </w:t>
      </w:r>
      <w:r>
        <w:rPr>
          <w:rFonts w:ascii="Times New Roman" w:eastAsia="Times New Roman" w:hAnsi="Times New Roman" w:cs="Times New Roman"/>
          <w:sz w:val="24"/>
          <w:szCs w:val="24"/>
        </w:rPr>
        <w:lastRenderedPageBreak/>
        <w:t>предложение на управителя на НЗОК своевременно одобрява компенсирани промени между показателите по бюджета на НЗОК в частта разходи и трансфери.</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431783397"/>
        <w:rPr>
          <w:rFonts w:ascii="Times New Roman" w:eastAsia="Times New Roman" w:hAnsi="Times New Roman" w:cs="Times New Roman"/>
          <w:sz w:val="24"/>
          <w:szCs w:val="24"/>
        </w:rPr>
      </w:pPr>
      <w:r>
        <w:rPr>
          <w:rFonts w:ascii="Times New Roman" w:eastAsia="Times New Roman" w:hAnsi="Times New Roman" w:cs="Times New Roman"/>
          <w:sz w:val="24"/>
          <w:szCs w:val="24"/>
        </w:rPr>
        <w:t>§ 10. (1) По изключение през 2022 г. при въведени със заповед на директора на съответната регионална здравна инспекция временни мерки по чл. 94а, ал. 2 от Закона за лечебните заведения във връзка с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директорът на районната здравноосигурителна каса може да сключи договор по чл. 59, ал. 1 от Закона за здравното осигуряване с изпълнители на медицинска помощ, които не отговарят на изискванията на глава втора, раздел VIII от Закона за здравното осигуряване.</w:t>
      </w:r>
    </w:p>
    <w:p w:rsidR="00426718" w:rsidRDefault="00581209">
      <w:pPr>
        <w:spacing w:after="0" w:line="240" w:lineRule="auto"/>
        <w:ind w:firstLine="851"/>
        <w:divId w:val="184879058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на които трябва да отговарят изпълнителите на медицинска помощ по ал. 1, и редът за сключване на договорите по ал. 1 се определят с анекс към Националния рамков договор за медицинските дейности за 2020 - 2022 г.</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767380189"/>
        <w:rPr>
          <w:rFonts w:ascii="Times New Roman" w:eastAsia="Times New Roman" w:hAnsi="Times New Roman" w:cs="Times New Roman"/>
          <w:sz w:val="24"/>
          <w:szCs w:val="24"/>
        </w:rPr>
      </w:pPr>
      <w:r>
        <w:rPr>
          <w:rFonts w:ascii="Times New Roman" w:eastAsia="Times New Roman" w:hAnsi="Times New Roman" w:cs="Times New Roman"/>
          <w:sz w:val="24"/>
          <w:szCs w:val="24"/>
        </w:rPr>
        <w:t>§ 11. Сключването на договори и/или допълнителни споразумения по реда на чл. 59, ал. 1а от Закона за здравното осигуряване е в рамките на утвърдените стойности по чл. 4, ал. 1, т. 1, буква "б".</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812868009"/>
        <w:rPr>
          <w:rFonts w:ascii="Times New Roman" w:eastAsia="Times New Roman" w:hAnsi="Times New Roman" w:cs="Times New Roman"/>
          <w:sz w:val="24"/>
          <w:szCs w:val="24"/>
        </w:rPr>
      </w:pPr>
      <w:r>
        <w:rPr>
          <w:rFonts w:ascii="Times New Roman" w:eastAsia="Times New Roman" w:hAnsi="Times New Roman" w:cs="Times New Roman"/>
          <w:sz w:val="24"/>
          <w:szCs w:val="24"/>
        </w:rPr>
        <w:t>§ 12. (1) Националната здравноосигурителна каса заплаща стойността на помощните средства, приспособленията, съоръженията и медицинските изделия за хората с увреждания до 30 юни 2022 г. при досегашните условия и ред до размерите, определени към 31 декември 2019 г.</w:t>
      </w:r>
    </w:p>
    <w:p w:rsidR="00426718" w:rsidRDefault="00581209">
      <w:pPr>
        <w:spacing w:after="0" w:line="240" w:lineRule="auto"/>
        <w:ind w:firstLine="851"/>
        <w:divId w:val="1974095375"/>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заплаща до 30 юни 2022 г. средствата за предоставените на хората с увреждания помощни средства, приспособления, съоръжения и медицински изделия или за техния ремонт при досегашните условия и ред.</w:t>
      </w:r>
    </w:p>
    <w:p w:rsidR="00426718" w:rsidRDefault="00581209">
      <w:pPr>
        <w:spacing w:after="0" w:line="240" w:lineRule="auto"/>
        <w:ind w:firstLine="851"/>
        <w:divId w:val="776100773"/>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по ал. 2 се извършват чрез Агенцията за социално подпомагане, като НЗОК превежда необходимите средства за заплащане на заявените суми. Сумите се заявяват от лицата, осъществяващи дейности по предоставяне и ремонт на помощни средства, приспособления, съоръжения и медицински изделия за хората с увреждания, пред Агенцията за социално подпомагане, която ги заплаща при досегашните условия и ред.</w:t>
      </w:r>
    </w:p>
    <w:p w:rsidR="00426718" w:rsidRDefault="00581209">
      <w:pPr>
        <w:spacing w:after="0" w:line="240" w:lineRule="auto"/>
        <w:ind w:firstLine="851"/>
        <w:divId w:val="173978779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предоставянето на помощните средства, приспособленията, съоръженията и медицинските изделия за хората с увреждания се осъществява при досегашните условия и ред.</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120300140"/>
        <w:rPr>
          <w:rFonts w:ascii="Times New Roman" w:eastAsia="Times New Roman" w:hAnsi="Times New Roman" w:cs="Times New Roman"/>
          <w:sz w:val="24"/>
          <w:szCs w:val="24"/>
        </w:rPr>
      </w:pPr>
      <w:r>
        <w:rPr>
          <w:rFonts w:ascii="Times New Roman" w:eastAsia="Times New Roman" w:hAnsi="Times New Roman" w:cs="Times New Roman"/>
          <w:sz w:val="24"/>
          <w:szCs w:val="24"/>
        </w:rPr>
        <w:t>§ 13. (1) Министерският съвет може да одобрява допълнителни трансфери по бюджета на НЗОК за 2022 г. по реда на чл. 106 от Закона за държавния бюджет на Република България за 2022 г. за допълнителни разходи за дейности, свързани с COVID-19.</w:t>
      </w:r>
    </w:p>
    <w:p w:rsidR="00426718" w:rsidRDefault="00581209">
      <w:pPr>
        <w:spacing w:after="0" w:line="240" w:lineRule="auto"/>
        <w:ind w:firstLine="851"/>
        <w:divId w:val="58245115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НЗОК и Българският лекарски съюз, съответно Българският зъболекарски съюз, подписват анекс към съответния национален рамков договор, който съдържа условията и реда за заплащане на дейностите по ал. 1, а при необходимост - и методика за определяне размера на средствата за разходите по ал. 1.</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9873975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14. (1) През 2022 г. Министерството на здравеопазването може да субсидира лечебни заведения за болнична помощ по смисъла на Закона за лечебните заведения за поддържане готовността им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w:t>
      </w:r>
    </w:p>
    <w:p w:rsidR="00426718" w:rsidRDefault="00581209">
      <w:pPr>
        <w:spacing w:after="0" w:line="240" w:lineRule="auto"/>
        <w:ind w:firstLine="851"/>
        <w:divId w:val="1176073452"/>
        <w:rPr>
          <w:rFonts w:ascii="Times New Roman" w:eastAsia="Times New Roman" w:hAnsi="Times New Roman" w:cs="Times New Roman"/>
          <w:sz w:val="24"/>
          <w:szCs w:val="24"/>
        </w:rPr>
      </w:pPr>
      <w:r>
        <w:rPr>
          <w:rFonts w:ascii="Times New Roman" w:eastAsia="Times New Roman" w:hAnsi="Times New Roman" w:cs="Times New Roman"/>
          <w:sz w:val="24"/>
          <w:szCs w:val="24"/>
        </w:rPr>
        <w:t>(2) Субсидирането по ал. 1 се извършва въз основа на сключени при условията и по реда на чл. 106а, ал. 6 от Закона за лечебните заведения договори за периода на обявеното извънредно положение, съответно на обявената извънредна епидемична обстановка, при спазване изискванията на Закона за държавните помощи.</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529560899"/>
        <w:rPr>
          <w:rFonts w:ascii="Times New Roman" w:eastAsia="Times New Roman" w:hAnsi="Times New Roman" w:cs="Times New Roman"/>
          <w:sz w:val="24"/>
          <w:szCs w:val="24"/>
        </w:rPr>
      </w:pPr>
      <w:r>
        <w:rPr>
          <w:rFonts w:ascii="Times New Roman" w:eastAsia="Times New Roman" w:hAnsi="Times New Roman" w:cs="Times New Roman"/>
          <w:sz w:val="24"/>
          <w:szCs w:val="24"/>
        </w:rPr>
        <w:t>§ 15. (1) Утвърдените разходи за персонал на НЗОК се извършват до определения размер.</w:t>
      </w:r>
    </w:p>
    <w:p w:rsidR="00426718" w:rsidRDefault="00581209">
      <w:pPr>
        <w:spacing w:after="0" w:line="240" w:lineRule="auto"/>
        <w:ind w:firstLine="851"/>
        <w:divId w:val="1013463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намаляване числеността на персонала, извън случаите на извеждане на дейности от бюджетно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увеличение на индивидуалните основни месечни заплати съобразно оценката на изпълнението, включително извън сроковете по наредбата по чл. 67, ал. 3 от Закона за държавния служител и чл. 107а, ал. 10 от Кодекса на труда.</w:t>
      </w:r>
    </w:p>
    <w:p w:rsidR="00426718" w:rsidRDefault="00581209">
      <w:pPr>
        <w:spacing w:after="0" w:line="240" w:lineRule="auto"/>
        <w:ind w:firstLine="851"/>
        <w:divId w:val="642275334"/>
        <w:rPr>
          <w:rFonts w:ascii="Times New Roman" w:eastAsia="Times New Roman" w:hAnsi="Times New Roman" w:cs="Times New Roman"/>
          <w:sz w:val="24"/>
          <w:szCs w:val="24"/>
        </w:rPr>
      </w:pPr>
      <w:r>
        <w:rPr>
          <w:rFonts w:ascii="Times New Roman" w:eastAsia="Times New Roman" w:hAnsi="Times New Roman" w:cs="Times New Roman"/>
          <w:sz w:val="24"/>
          <w:szCs w:val="24"/>
        </w:rPr>
        <w:t>(3) Икономията на разходите за персонал може да се използва текущо или с натрупване за изплащането на допълнителни възнаграждения за постигнати резултати и дължимите за тях осигурителни вноски и/или за други разходи. При необходимост Надзорният съвет на НЗОК по предложение на управителя на НЗОК може да одобрява съответните вътрешнокомпенсирани промени по бюджета на НЗОК.</w:t>
      </w:r>
    </w:p>
    <w:p w:rsidR="00426718" w:rsidRDefault="00581209">
      <w:pPr>
        <w:spacing w:after="0" w:line="240" w:lineRule="auto"/>
        <w:ind w:firstLine="851"/>
        <w:divId w:val="98990132"/>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1 не се прилага по отношение на увеличението на разходите за персонал за сметка на:</w:t>
      </w:r>
    </w:p>
    <w:p w:rsidR="00426718" w:rsidRDefault="00581209">
      <w:pPr>
        <w:spacing w:after="0" w:line="240" w:lineRule="auto"/>
        <w:ind w:firstLine="851"/>
        <w:divId w:val="549997458"/>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средства от помощи и дарения;</w:t>
      </w:r>
    </w:p>
    <w:p w:rsidR="00426718" w:rsidRDefault="00581209">
      <w:pPr>
        <w:spacing w:after="0" w:line="240" w:lineRule="auto"/>
        <w:ind w:firstLine="851"/>
        <w:divId w:val="838227317"/>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вътрешно преструктуриране на разходите за социално-битово и културно обслужване на персонала;</w:t>
      </w:r>
    </w:p>
    <w:p w:rsidR="00426718" w:rsidRDefault="00581209">
      <w:pPr>
        <w:spacing w:after="0" w:line="240" w:lineRule="auto"/>
        <w:ind w:firstLine="851"/>
        <w:divId w:val="505827473"/>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 трансфери от други бюджети, които не са част от държавния бюджет;</w:t>
      </w:r>
    </w:p>
    <w:p w:rsidR="00426718" w:rsidRDefault="00581209">
      <w:pPr>
        <w:spacing w:after="0" w:line="240" w:lineRule="auto"/>
        <w:ind w:firstLine="851"/>
        <w:divId w:val="1983264036"/>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получени трансфери от бюджети по държавния бюджет в годишен размер на увеличението до 2 млн. лв.;</w:t>
      </w:r>
    </w:p>
    <w:p w:rsidR="00426718" w:rsidRDefault="00581209">
      <w:pPr>
        <w:spacing w:after="0" w:line="240" w:lineRule="auto"/>
        <w:ind w:firstLine="851"/>
        <w:divId w:val="1026175673"/>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получени трансфери за изпълнение на Националния план за действие по заетостта;</w:t>
      </w:r>
    </w:p>
    <w:p w:rsidR="00426718" w:rsidRDefault="00581209">
      <w:pPr>
        <w:spacing w:after="0" w:line="240" w:lineRule="auto"/>
        <w:ind w:firstLine="851"/>
        <w:divId w:val="703924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проекти, финансирани със средства от Европейския съюз;</w:t>
      </w:r>
    </w:p>
    <w:p w:rsidR="00426718" w:rsidRDefault="00581209">
      <w:pPr>
        <w:spacing w:after="0" w:line="240" w:lineRule="auto"/>
        <w:ind w:firstLine="851"/>
        <w:divId w:val="27994533"/>
        <w:rPr>
          <w:rFonts w:ascii="Times New Roman" w:eastAsia="Times New Roman" w:hAnsi="Times New Roman" w:cs="Times New Roman"/>
          <w:sz w:val="24"/>
          <w:szCs w:val="24"/>
        </w:rPr>
      </w:pPr>
      <w:r>
        <w:rPr>
          <w:rFonts w:ascii="Times New Roman" w:eastAsia="Times New Roman" w:hAnsi="Times New Roman" w:cs="Times New Roman"/>
          <w:sz w:val="24"/>
          <w:szCs w:val="24"/>
        </w:rPr>
        <w:t>7. вътрешно преструктуриране на разходите за случаите, когато НЗОК изпълнява международни договори и програми през текущата година;</w:t>
      </w:r>
    </w:p>
    <w:p w:rsidR="00426718" w:rsidRDefault="00581209">
      <w:pPr>
        <w:spacing w:after="0" w:line="240" w:lineRule="auto"/>
        <w:ind w:firstLine="851"/>
        <w:divId w:val="1057708318"/>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разходи от резерва за предотвратяване, овладяване и преодоляване на последиците от бедствия при участие в спасителни и/или неотложни аварийно-възстановителни дейности.</w:t>
      </w:r>
    </w:p>
    <w:p w:rsidR="00426718" w:rsidRDefault="00581209">
      <w:pPr>
        <w:spacing w:after="0" w:line="240" w:lineRule="auto"/>
        <w:ind w:firstLine="851"/>
        <w:divId w:val="1927692836"/>
        <w:rPr>
          <w:rFonts w:ascii="Times New Roman" w:eastAsia="Times New Roman" w:hAnsi="Times New Roman" w:cs="Times New Roman"/>
          <w:sz w:val="24"/>
          <w:szCs w:val="24"/>
        </w:rPr>
      </w:pPr>
      <w:r>
        <w:rPr>
          <w:rFonts w:ascii="Times New Roman" w:eastAsia="Times New Roman" w:hAnsi="Times New Roman" w:cs="Times New Roman"/>
          <w:sz w:val="24"/>
          <w:szCs w:val="24"/>
        </w:rPr>
        <w:t>(5) Увеличението на разходите за персонал по ал. 4, т. 1 - 7 се одобрява от Надзорния съвет на НЗОК по предложение на управителя на НЗОК, а на разходите по ал. 4, т. 8 - по реда на чл. 109 от Закона за публичните финанси.</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21376732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16. В Закона за здравното осигуряване (обн., ДВ,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бр. 12, 48, 54, 61, 72, 79, 98 и 102 от 2015 г.; Решение № 3 на Конституционния съд от 2016 г. - бр. 20 от 2016 г.; изм., бр. 98 от 2016 г., бр. 85, 10 и 103 от 2017 г., бр. 7, 17, 30, 40, 77, 92, 102 и 105 от 2018 г., бр. 24, 99 и 101 от 2019 г., бр. 54, 67 и 103 от 2020 г. и бр. 21 от 2021 г.) се правят следните изменения и допълнения:</w:t>
      </w:r>
    </w:p>
    <w:p w:rsidR="00426718" w:rsidRDefault="00581209">
      <w:pPr>
        <w:spacing w:after="0" w:line="240" w:lineRule="auto"/>
        <w:ind w:firstLine="851"/>
        <w:divId w:val="51203371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24, т. 9 думите "всяка отчетена рецептурна бланка" се заменят с "всяко отчетено електронно предписание".</w:t>
      </w:r>
    </w:p>
    <w:p w:rsidR="00426718" w:rsidRDefault="00581209">
      <w:pPr>
        <w:spacing w:after="0" w:line="240" w:lineRule="auto"/>
        <w:ind w:firstLine="851"/>
        <w:divId w:val="28732597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45:</w:t>
      </w:r>
    </w:p>
    <w:p w:rsidR="00426718" w:rsidRDefault="00581209">
      <w:pPr>
        <w:spacing w:after="0" w:line="240" w:lineRule="auto"/>
        <w:ind w:firstLine="851"/>
        <w:divId w:val="147568040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24 думите "всяка отчетена рецептурна бланка" се заменят с "всяко отчетено електронно предписание";</w:t>
      </w:r>
    </w:p>
    <w:p w:rsidR="00426718" w:rsidRDefault="00581209">
      <w:pPr>
        <w:spacing w:after="0" w:line="240" w:lineRule="auto"/>
        <w:ind w:firstLine="851"/>
        <w:divId w:val="383023414"/>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29 се изменя така:</w:t>
      </w:r>
    </w:p>
    <w:p w:rsidR="00426718" w:rsidRDefault="00581209">
      <w:pPr>
        <w:spacing w:after="0" w:line="240" w:lineRule="auto"/>
        <w:ind w:firstLine="851"/>
        <w:divId w:val="1088892696"/>
        <w:rPr>
          <w:rFonts w:ascii="Times New Roman" w:eastAsia="Times New Roman" w:hAnsi="Times New Roman" w:cs="Times New Roman"/>
          <w:sz w:val="24"/>
          <w:szCs w:val="24"/>
        </w:rPr>
      </w:pPr>
      <w:r>
        <w:rPr>
          <w:rFonts w:ascii="Times New Roman" w:eastAsia="Times New Roman" w:hAnsi="Times New Roman" w:cs="Times New Roman"/>
          <w:sz w:val="24"/>
          <w:szCs w:val="24"/>
        </w:rPr>
        <w:t>"(29)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те са възложители по Закона за обществените поръчки.";</w:t>
      </w:r>
    </w:p>
    <w:p w:rsidR="00426718" w:rsidRDefault="00581209">
      <w:pPr>
        <w:spacing w:after="0" w:line="240" w:lineRule="auto"/>
        <w:ind w:firstLine="851"/>
        <w:divId w:val="1347056524"/>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31:</w:t>
      </w:r>
    </w:p>
    <w:p w:rsidR="00426718" w:rsidRDefault="00581209">
      <w:pPr>
        <w:spacing w:after="0" w:line="240" w:lineRule="auto"/>
        <w:ind w:firstLine="851"/>
        <w:divId w:val="1722903308"/>
        <w:rPr>
          <w:rFonts w:ascii="Times New Roman" w:eastAsia="Times New Roman" w:hAnsi="Times New Roman" w:cs="Times New Roman"/>
          <w:sz w:val="24"/>
          <w:szCs w:val="24"/>
        </w:rPr>
      </w:pPr>
      <w:r>
        <w:rPr>
          <w:rFonts w:ascii="Times New Roman" w:eastAsia="Times New Roman" w:hAnsi="Times New Roman" w:cs="Times New Roman"/>
          <w:sz w:val="24"/>
          <w:szCs w:val="24"/>
        </w:rPr>
        <w:t>аа) създава се ново изречение второ: "Надзорният съвет на НЗОК приема с решение методика за прилагане на механизма.";</w:t>
      </w:r>
    </w:p>
    <w:p w:rsidR="00426718" w:rsidRDefault="00581209">
      <w:pPr>
        <w:spacing w:after="0" w:line="240" w:lineRule="auto"/>
        <w:ind w:firstLine="851"/>
        <w:divId w:val="1123232214"/>
        <w:rPr>
          <w:rFonts w:ascii="Times New Roman" w:eastAsia="Times New Roman" w:hAnsi="Times New Roman" w:cs="Times New Roman"/>
          <w:sz w:val="24"/>
          <w:szCs w:val="24"/>
        </w:rPr>
      </w:pPr>
      <w:r>
        <w:rPr>
          <w:rFonts w:ascii="Times New Roman" w:eastAsia="Times New Roman" w:hAnsi="Times New Roman" w:cs="Times New Roman"/>
          <w:sz w:val="24"/>
          <w:szCs w:val="24"/>
        </w:rPr>
        <w:t>бб) досегашното изречение второ става изречение трето и в него след думата "Механизмът" се добавя "и методиката за прилагането му", а думата "приема" се заменя с "приемат";</w:t>
      </w:r>
    </w:p>
    <w:p w:rsidR="00426718" w:rsidRDefault="00581209">
      <w:pPr>
        <w:spacing w:after="0" w:line="240" w:lineRule="auto"/>
        <w:ind w:firstLine="851"/>
        <w:divId w:val="13966656"/>
        <w:rPr>
          <w:rFonts w:ascii="Times New Roman" w:eastAsia="Times New Roman" w:hAnsi="Times New Roman" w:cs="Times New Roman"/>
          <w:sz w:val="24"/>
          <w:szCs w:val="24"/>
        </w:rPr>
      </w:pPr>
      <w:r>
        <w:rPr>
          <w:rFonts w:ascii="Times New Roman" w:eastAsia="Times New Roman" w:hAnsi="Times New Roman" w:cs="Times New Roman"/>
          <w:sz w:val="24"/>
          <w:szCs w:val="24"/>
        </w:rPr>
        <w:t>вв) досегашното изречение трето става изречение четвърто и в него след думата "Механизмът" се добавя "и методиката за прилагането му", а думата "обнародва" се заменя с "обнародват";</w:t>
      </w:r>
    </w:p>
    <w:p w:rsidR="00426718" w:rsidRDefault="00581209">
      <w:pPr>
        <w:spacing w:after="0" w:line="240" w:lineRule="auto"/>
        <w:ind w:firstLine="851"/>
        <w:divId w:val="983849143"/>
        <w:rPr>
          <w:rFonts w:ascii="Times New Roman" w:eastAsia="Times New Roman" w:hAnsi="Times New Roman" w:cs="Times New Roman"/>
          <w:sz w:val="24"/>
          <w:szCs w:val="24"/>
        </w:rPr>
      </w:pPr>
      <w:r>
        <w:rPr>
          <w:rFonts w:ascii="Times New Roman" w:eastAsia="Times New Roman" w:hAnsi="Times New Roman" w:cs="Times New Roman"/>
          <w:sz w:val="24"/>
          <w:szCs w:val="24"/>
        </w:rPr>
        <w:t>г) алинея 35 се изменя така:</w:t>
      </w:r>
    </w:p>
    <w:p w:rsidR="00426718" w:rsidRDefault="00581209">
      <w:pPr>
        <w:spacing w:after="0" w:line="240" w:lineRule="auto"/>
        <w:ind w:firstLine="851"/>
        <w:divId w:val="83764920"/>
        <w:rPr>
          <w:rFonts w:ascii="Times New Roman" w:eastAsia="Times New Roman" w:hAnsi="Times New Roman" w:cs="Times New Roman"/>
          <w:sz w:val="24"/>
          <w:szCs w:val="24"/>
        </w:rPr>
      </w:pPr>
      <w:r>
        <w:rPr>
          <w:rFonts w:ascii="Times New Roman" w:eastAsia="Times New Roman" w:hAnsi="Times New Roman" w:cs="Times New Roman"/>
          <w:sz w:val="24"/>
          <w:szCs w:val="24"/>
        </w:rPr>
        <w:t>"(35) За медицинските изделия, прилагани в болничната 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 бюджета на НЗОК, който ежегодно се приема с решение на Надзорния съвет на НЗОК съобразно средствата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януари на годината, за която се прилага. Механизмът и методиката за прилагането му се обнародват в "Държавен вестник" от управителя на НЗОК.";</w:t>
      </w:r>
    </w:p>
    <w:p w:rsidR="00426718" w:rsidRDefault="00581209">
      <w:pPr>
        <w:spacing w:after="0" w:line="240" w:lineRule="auto"/>
        <w:ind w:firstLine="851"/>
        <w:divId w:val="17334293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 създават се ал. 36 и 37:</w:t>
      </w:r>
    </w:p>
    <w:p w:rsidR="00426718" w:rsidRDefault="00581209">
      <w:pPr>
        <w:spacing w:after="0" w:line="240" w:lineRule="auto"/>
        <w:ind w:firstLine="851"/>
        <w:divId w:val="1946692546"/>
        <w:rPr>
          <w:rFonts w:ascii="Times New Roman" w:eastAsia="Times New Roman" w:hAnsi="Times New Roman" w:cs="Times New Roman"/>
          <w:sz w:val="24"/>
          <w:szCs w:val="24"/>
        </w:rPr>
      </w:pPr>
      <w:r>
        <w:rPr>
          <w:rFonts w:ascii="Times New Roman" w:eastAsia="Times New Roman" w:hAnsi="Times New Roman" w:cs="Times New Roman"/>
          <w:sz w:val="24"/>
          <w:szCs w:val="24"/>
        </w:rPr>
        <w:t>"(36) Механизмът по ал. 35 се прилага за:</w:t>
      </w:r>
    </w:p>
    <w:p w:rsidR="00426718" w:rsidRDefault="00581209">
      <w:pPr>
        <w:spacing w:after="0" w:line="240" w:lineRule="auto"/>
        <w:ind w:firstLine="851"/>
        <w:divId w:val="920912371"/>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медицинските изделия, включени в списъка по чл. 30а, ал. 1 от Закона за медицинските изделия, прилагани в болничната медицинска помощ и заплащани напълно от НЗОК извън стойността на оказваните медицински услуги, и</w:t>
      </w:r>
    </w:p>
    <w:p w:rsidR="00426718" w:rsidRDefault="00581209">
      <w:pPr>
        <w:spacing w:after="0" w:line="240" w:lineRule="auto"/>
        <w:ind w:firstLine="851"/>
        <w:divId w:val="15196584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производителите или търговците на едро с медицински изделия по т. 1, или техни упълномощени представители, за които механизмът е приложим при наличие на основанията и условията, установени в него, и</w:t>
      </w:r>
    </w:p>
    <w:p w:rsidR="00426718" w:rsidRDefault="00581209">
      <w:pPr>
        <w:spacing w:after="0" w:line="240" w:lineRule="auto"/>
        <w:ind w:firstLine="851"/>
        <w:divId w:val="511459214"/>
        <w:rPr>
          <w:rFonts w:ascii="Times New Roman" w:eastAsia="Times New Roman" w:hAnsi="Times New Roman" w:cs="Times New Roman"/>
          <w:sz w:val="24"/>
          <w:szCs w:val="24"/>
        </w:rPr>
      </w:pPr>
      <w:r>
        <w:rPr>
          <w:rFonts w:ascii="Times New Roman" w:eastAsia="Times New Roman" w:hAnsi="Times New Roman" w:cs="Times New Roman"/>
          <w:sz w:val="24"/>
          <w:szCs w:val="24"/>
        </w:rPr>
        <w:t>3. календарната година, за която е приет.</w:t>
      </w:r>
    </w:p>
    <w:p w:rsidR="00426718" w:rsidRDefault="00581209">
      <w:pPr>
        <w:spacing w:after="0" w:line="240" w:lineRule="auto"/>
        <w:ind w:firstLine="851"/>
        <w:divId w:val="1098022869"/>
        <w:rPr>
          <w:rFonts w:ascii="Times New Roman" w:eastAsia="Times New Roman" w:hAnsi="Times New Roman" w:cs="Times New Roman"/>
          <w:sz w:val="24"/>
          <w:szCs w:val="24"/>
        </w:rPr>
      </w:pPr>
      <w:r>
        <w:rPr>
          <w:rFonts w:ascii="Times New Roman" w:eastAsia="Times New Roman" w:hAnsi="Times New Roman" w:cs="Times New Roman"/>
          <w:sz w:val="24"/>
          <w:szCs w:val="24"/>
        </w:rPr>
        <w:t>(37)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април на съответната година, които влизат в сила от 1 януари на годината. Медицинските изделия по ал. 36, т. 1, за които не са сключени договори до 1 април на съответната година, не се заплащат от НЗОК."</w:t>
      </w:r>
    </w:p>
    <w:p w:rsidR="00426718" w:rsidRDefault="00581209">
      <w:pPr>
        <w:spacing w:after="0" w:line="240" w:lineRule="auto"/>
        <w:ind w:firstLine="851"/>
        <w:divId w:val="99414450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63, ал. 2 се изменя така:</w:t>
      </w:r>
    </w:p>
    <w:p w:rsidR="00426718" w:rsidRDefault="00581209">
      <w:pPr>
        <w:spacing w:after="0" w:line="240" w:lineRule="auto"/>
        <w:ind w:firstLine="851"/>
        <w:divId w:val="83194373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здравноосигурителна каса осигурява достъп на Министерството на здравеопазването до информационната система по ал. 1 по реда на чл. 68, ал. 7."</w:t>
      </w:r>
    </w:p>
    <w:p w:rsidR="00426718" w:rsidRDefault="00581209">
      <w:pPr>
        <w:spacing w:after="0" w:line="240" w:lineRule="auto"/>
        <w:ind w:firstLine="851"/>
        <w:divId w:val="148014922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68:</w:t>
      </w:r>
    </w:p>
    <w:p w:rsidR="00426718" w:rsidRDefault="00581209">
      <w:pPr>
        <w:spacing w:after="0" w:line="240" w:lineRule="auto"/>
        <w:ind w:firstLine="851"/>
        <w:divId w:val="29387547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7 се създава изречение второ: "За предоставяне на исканата информация се сключва споразумение между НЗОК и Министерството на здравеопазването, в което се определят исканите данни, тяхното съдържание и редът за предоставяне на информацията, при спазване на изискванията на наредбата по чл. 3, ал. 2 от Закона за киберсигурност.";</w:t>
      </w:r>
    </w:p>
    <w:p w:rsidR="00426718" w:rsidRDefault="00581209">
      <w:pPr>
        <w:spacing w:after="0" w:line="240" w:lineRule="auto"/>
        <w:ind w:firstLine="851"/>
        <w:divId w:val="65275605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8:</w:t>
      </w:r>
    </w:p>
    <w:p w:rsidR="00426718" w:rsidRDefault="00581209">
      <w:pPr>
        <w:spacing w:after="0" w:line="240" w:lineRule="auto"/>
        <w:ind w:firstLine="851"/>
        <w:divId w:val="777259590"/>
        <w:rPr>
          <w:rFonts w:ascii="Times New Roman" w:eastAsia="Times New Roman" w:hAnsi="Times New Roman" w:cs="Times New Roman"/>
          <w:sz w:val="24"/>
          <w:szCs w:val="24"/>
        </w:rPr>
      </w:pPr>
      <w:r>
        <w:rPr>
          <w:rFonts w:ascii="Times New Roman" w:eastAsia="Times New Roman" w:hAnsi="Times New Roman" w:cs="Times New Roman"/>
          <w:sz w:val="24"/>
          <w:szCs w:val="24"/>
        </w:rPr>
        <w:t>"(8) След подписване на рамково споразумение или при изменение на това рамково споразумение, направено по реда на Закона за обществените поръчки, министърът на здравеопазването в качеството му на Централен орган за покупки в сектор "Здравеопазване" изпраща информация в НЗОК."</w:t>
      </w:r>
    </w:p>
    <w:p w:rsidR="00426718" w:rsidRDefault="00581209">
      <w:pPr>
        <w:spacing w:after="0" w:line="240" w:lineRule="auto"/>
        <w:ind w:firstLine="851"/>
        <w:divId w:val="1020743827"/>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72, ал. 8 думите "един месец" се заменят с "два месеца".</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571088565"/>
        <w:rPr>
          <w:rFonts w:ascii="Times New Roman" w:eastAsia="Times New Roman" w:hAnsi="Times New Roman" w:cs="Times New Roman"/>
          <w:sz w:val="24"/>
          <w:szCs w:val="24"/>
        </w:rPr>
      </w:pPr>
      <w:r>
        <w:rPr>
          <w:rFonts w:ascii="Times New Roman" w:eastAsia="Times New Roman" w:hAnsi="Times New Roman" w:cs="Times New Roman"/>
          <w:sz w:val="24"/>
          <w:szCs w:val="24"/>
        </w:rPr>
        <w:t>§ 17. (1) Механизмите, гарантиращи предвидимост и устойчивост на бюджета на НЗОК и методиките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бюджета на Националната здравноосигурителна каса за 2022 г. и влизат в сила от 1 април 2022 г.</w:t>
      </w:r>
    </w:p>
    <w:p w:rsidR="00426718" w:rsidRDefault="00581209">
      <w:pPr>
        <w:spacing w:after="0" w:line="240" w:lineRule="auto"/>
        <w:ind w:firstLine="851"/>
        <w:divId w:val="2014827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 методиките за прилагането им по чл. 45, ал. 31 и 35 от Закона за здравното осигуряване.</w:t>
      </w:r>
    </w:p>
    <w:p w:rsidR="00426718" w:rsidRDefault="00581209">
      <w:pPr>
        <w:spacing w:after="0" w:line="240" w:lineRule="auto"/>
        <w:ind w:firstLine="851"/>
        <w:divId w:val="596061089"/>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 за които не са сключени договори в срока по ал. 2, не се заплащат от НЗОК.</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4769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(В сила от 04.03.2022 г.)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w:t>
      </w:r>
      <w:r>
        <w:rPr>
          <w:rFonts w:ascii="Times New Roman" w:eastAsia="Times New Roman" w:hAnsi="Times New Roman" w:cs="Times New Roman"/>
          <w:sz w:val="24"/>
          <w:szCs w:val="24"/>
        </w:rPr>
        <w:lastRenderedPageBreak/>
        <w:t>107 от 2014 г., бр. 9, 72, 80 и 102 от 2015 г., бр. 17, 27, 98 и 103 от 2016 г., бр. 58, 85 и 102 от 2017 г., бр. 18, 77, 91, 98 и 102 от 2018 г., бр. 24, 58, 99 и 101 от 2019 г., бр. 23, 28, 34, 44, 67, 103, 105 и 110 от 2020 г., бр. 21 от 2021 г. и бр. 8 от 2022 г.) в чл. 82, ал. 6 се създава изречение второ: "Срокът за издаване на индивидуални административни актове за одобряване или отказ на заплащането на посочените медицински и други услуги е до един месец."</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1156072696"/>
        <w:rPr>
          <w:rFonts w:ascii="Times New Roman" w:eastAsia="Times New Roman" w:hAnsi="Times New Roman" w:cs="Times New Roman"/>
          <w:sz w:val="24"/>
          <w:szCs w:val="24"/>
        </w:rPr>
      </w:pPr>
      <w:r>
        <w:rPr>
          <w:rFonts w:ascii="Times New Roman" w:eastAsia="Times New Roman" w:hAnsi="Times New Roman" w:cs="Times New Roman"/>
          <w:sz w:val="24"/>
          <w:szCs w:val="24"/>
        </w:rPr>
        <w:t>§ 19. (В сила от 04.03.2022 г.) В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 (ДВ, бр. 8 от 2022 г.) чл. 3 се отменя.</w:t>
      </w:r>
    </w:p>
    <w:p w:rsidR="00426718" w:rsidRDefault="00426718">
      <w:pPr>
        <w:spacing w:after="0" w:line="240" w:lineRule="auto"/>
        <w:rPr>
          <w:rFonts w:ascii="Times New Roman" w:eastAsia="Times New Roman" w:hAnsi="Times New Roman" w:cs="Times New Roman"/>
          <w:sz w:val="24"/>
          <w:szCs w:val="24"/>
        </w:rPr>
      </w:pPr>
    </w:p>
    <w:p w:rsidR="00426718" w:rsidRDefault="00581209">
      <w:pPr>
        <w:spacing w:after="0" w:line="240" w:lineRule="auto"/>
        <w:ind w:firstLine="851"/>
        <w:divId w:val="905412474"/>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426718" w:rsidRDefault="00581209">
      <w:pPr>
        <w:spacing w:after="0" w:line="240" w:lineRule="auto"/>
        <w:ind w:firstLine="851"/>
        <w:divId w:val="2550195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6718" w:rsidRDefault="00581209">
      <w:pPr>
        <w:spacing w:after="0" w:line="240" w:lineRule="auto"/>
        <w:ind w:firstLine="851"/>
        <w:divId w:val="210738006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47-ото Народно събрание на 22 февруари 2022 г. и е подпечатан с официалния печат на Народното събрание.</w:t>
      </w:r>
    </w:p>
    <w:p w:rsidR="00581209" w:rsidRDefault="00581209">
      <w:pPr>
        <w:rPr>
          <w:rFonts w:eastAsia="Times New Roman"/>
        </w:rPr>
      </w:pPr>
    </w:p>
    <w:sectPr w:rsidR="0058120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EB" w:rsidRDefault="00656CEB">
      <w:pPr>
        <w:spacing w:after="0" w:line="240" w:lineRule="auto"/>
      </w:pPr>
      <w:r>
        <w:separator/>
      </w:r>
    </w:p>
  </w:endnote>
  <w:endnote w:type="continuationSeparator" w:id="0">
    <w:p w:rsidR="00656CEB" w:rsidRDefault="0065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13" w:rsidRDefault="0058120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EB" w:rsidRDefault="00656CEB">
      <w:pPr>
        <w:spacing w:after="0" w:line="240" w:lineRule="auto"/>
      </w:pPr>
      <w:r>
        <w:separator/>
      </w:r>
    </w:p>
  </w:footnote>
  <w:footnote w:type="continuationSeparator" w:id="0">
    <w:p w:rsidR="00656CEB" w:rsidRDefault="00656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13"/>
    <w:rsid w:val="00426718"/>
    <w:rsid w:val="00581209"/>
    <w:rsid w:val="00656CEB"/>
    <w:rsid w:val="00A464AF"/>
    <w:rsid w:val="00C87B58"/>
    <w:rsid w:val="00DE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F1A08-E047-40D8-BB06-8D695809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036">
      <w:marLeft w:val="0"/>
      <w:marRight w:val="0"/>
      <w:marTop w:val="0"/>
      <w:marBottom w:val="0"/>
      <w:divBdr>
        <w:top w:val="none" w:sz="0" w:space="0" w:color="auto"/>
        <w:left w:val="none" w:sz="0" w:space="0" w:color="auto"/>
        <w:bottom w:val="none" w:sz="0" w:space="0" w:color="auto"/>
        <w:right w:val="none" w:sz="0" w:space="0" w:color="auto"/>
      </w:divBdr>
      <w:divsChild>
        <w:div w:id="595599753">
          <w:marLeft w:val="0"/>
          <w:marRight w:val="0"/>
          <w:marTop w:val="0"/>
          <w:marBottom w:val="0"/>
          <w:divBdr>
            <w:top w:val="none" w:sz="0" w:space="0" w:color="auto"/>
            <w:left w:val="none" w:sz="0" w:space="0" w:color="auto"/>
            <w:bottom w:val="none" w:sz="0" w:space="0" w:color="auto"/>
            <w:right w:val="none" w:sz="0" w:space="0" w:color="auto"/>
          </w:divBdr>
        </w:div>
      </w:divsChild>
    </w:div>
    <w:div w:id="264382733">
      <w:marLeft w:val="0"/>
      <w:marRight w:val="0"/>
      <w:marTop w:val="0"/>
      <w:marBottom w:val="0"/>
      <w:divBdr>
        <w:top w:val="none" w:sz="0" w:space="0" w:color="auto"/>
        <w:left w:val="none" w:sz="0" w:space="0" w:color="auto"/>
        <w:bottom w:val="none" w:sz="0" w:space="0" w:color="auto"/>
        <w:right w:val="none" w:sz="0" w:space="0" w:color="auto"/>
      </w:divBdr>
      <w:divsChild>
        <w:div w:id="1120300140">
          <w:marLeft w:val="0"/>
          <w:marRight w:val="0"/>
          <w:marTop w:val="0"/>
          <w:marBottom w:val="0"/>
          <w:divBdr>
            <w:top w:val="none" w:sz="0" w:space="0" w:color="auto"/>
            <w:left w:val="none" w:sz="0" w:space="0" w:color="auto"/>
            <w:bottom w:val="none" w:sz="0" w:space="0" w:color="auto"/>
            <w:right w:val="none" w:sz="0" w:space="0" w:color="auto"/>
          </w:divBdr>
        </w:div>
        <w:div w:id="582451156">
          <w:marLeft w:val="0"/>
          <w:marRight w:val="0"/>
          <w:marTop w:val="0"/>
          <w:marBottom w:val="0"/>
          <w:divBdr>
            <w:top w:val="none" w:sz="0" w:space="0" w:color="auto"/>
            <w:left w:val="none" w:sz="0" w:space="0" w:color="auto"/>
            <w:bottom w:val="none" w:sz="0" w:space="0" w:color="auto"/>
            <w:right w:val="none" w:sz="0" w:space="0" w:color="auto"/>
          </w:divBdr>
        </w:div>
      </w:divsChild>
    </w:div>
    <w:div w:id="321931608">
      <w:marLeft w:val="0"/>
      <w:marRight w:val="0"/>
      <w:marTop w:val="0"/>
      <w:marBottom w:val="0"/>
      <w:divBdr>
        <w:top w:val="none" w:sz="0" w:space="0" w:color="auto"/>
        <w:left w:val="none" w:sz="0" w:space="0" w:color="auto"/>
        <w:bottom w:val="none" w:sz="0" w:space="0" w:color="auto"/>
        <w:right w:val="none" w:sz="0" w:space="0" w:color="auto"/>
      </w:divBdr>
      <w:divsChild>
        <w:div w:id="14769663">
          <w:marLeft w:val="0"/>
          <w:marRight w:val="0"/>
          <w:marTop w:val="0"/>
          <w:marBottom w:val="0"/>
          <w:divBdr>
            <w:top w:val="none" w:sz="0" w:space="0" w:color="auto"/>
            <w:left w:val="none" w:sz="0" w:space="0" w:color="auto"/>
            <w:bottom w:val="none" w:sz="0" w:space="0" w:color="auto"/>
            <w:right w:val="none" w:sz="0" w:space="0" w:color="auto"/>
          </w:divBdr>
        </w:div>
      </w:divsChild>
    </w:div>
    <w:div w:id="330908565">
      <w:marLeft w:val="0"/>
      <w:marRight w:val="0"/>
      <w:marTop w:val="0"/>
      <w:marBottom w:val="0"/>
      <w:divBdr>
        <w:top w:val="none" w:sz="0" w:space="0" w:color="auto"/>
        <w:left w:val="none" w:sz="0" w:space="0" w:color="auto"/>
        <w:bottom w:val="none" w:sz="0" w:space="0" w:color="auto"/>
        <w:right w:val="none" w:sz="0" w:space="0" w:color="auto"/>
      </w:divBdr>
      <w:divsChild>
        <w:div w:id="347221633">
          <w:marLeft w:val="0"/>
          <w:marRight w:val="0"/>
          <w:marTop w:val="0"/>
          <w:marBottom w:val="0"/>
          <w:divBdr>
            <w:top w:val="none" w:sz="0" w:space="0" w:color="auto"/>
            <w:left w:val="none" w:sz="0" w:space="0" w:color="auto"/>
            <w:bottom w:val="none" w:sz="0" w:space="0" w:color="auto"/>
            <w:right w:val="none" w:sz="0" w:space="0" w:color="auto"/>
          </w:divBdr>
        </w:div>
      </w:divsChild>
    </w:div>
    <w:div w:id="470364324">
      <w:marLeft w:val="0"/>
      <w:marRight w:val="0"/>
      <w:marTop w:val="0"/>
      <w:marBottom w:val="0"/>
      <w:divBdr>
        <w:top w:val="none" w:sz="0" w:space="0" w:color="auto"/>
        <w:left w:val="none" w:sz="0" w:space="0" w:color="auto"/>
        <w:bottom w:val="none" w:sz="0" w:space="0" w:color="auto"/>
        <w:right w:val="none" w:sz="0" w:space="0" w:color="auto"/>
      </w:divBdr>
      <w:divsChild>
        <w:div w:id="1439913971">
          <w:marLeft w:val="0"/>
          <w:marRight w:val="0"/>
          <w:marTop w:val="0"/>
          <w:marBottom w:val="0"/>
          <w:divBdr>
            <w:top w:val="none" w:sz="0" w:space="0" w:color="auto"/>
            <w:left w:val="none" w:sz="0" w:space="0" w:color="auto"/>
            <w:bottom w:val="none" w:sz="0" w:space="0" w:color="auto"/>
            <w:right w:val="none" w:sz="0" w:space="0" w:color="auto"/>
          </w:divBdr>
        </w:div>
      </w:divsChild>
    </w:div>
    <w:div w:id="499853963">
      <w:marLeft w:val="0"/>
      <w:marRight w:val="0"/>
      <w:marTop w:val="0"/>
      <w:marBottom w:val="0"/>
      <w:divBdr>
        <w:top w:val="none" w:sz="0" w:space="0" w:color="auto"/>
        <w:left w:val="none" w:sz="0" w:space="0" w:color="auto"/>
        <w:bottom w:val="none" w:sz="0" w:space="0" w:color="auto"/>
        <w:right w:val="none" w:sz="0" w:space="0" w:color="auto"/>
      </w:divBdr>
      <w:divsChild>
        <w:div w:id="1039739884">
          <w:marLeft w:val="0"/>
          <w:marRight w:val="0"/>
          <w:marTop w:val="0"/>
          <w:marBottom w:val="0"/>
          <w:divBdr>
            <w:top w:val="none" w:sz="0" w:space="0" w:color="auto"/>
            <w:left w:val="none" w:sz="0" w:space="0" w:color="auto"/>
            <w:bottom w:val="none" w:sz="0" w:space="0" w:color="auto"/>
            <w:right w:val="none" w:sz="0" w:space="0" w:color="auto"/>
          </w:divBdr>
        </w:div>
        <w:div w:id="529223730">
          <w:marLeft w:val="0"/>
          <w:marRight w:val="0"/>
          <w:marTop w:val="0"/>
          <w:marBottom w:val="0"/>
          <w:divBdr>
            <w:top w:val="none" w:sz="0" w:space="0" w:color="auto"/>
            <w:left w:val="none" w:sz="0" w:space="0" w:color="auto"/>
            <w:bottom w:val="none" w:sz="0" w:space="0" w:color="auto"/>
            <w:right w:val="none" w:sz="0" w:space="0" w:color="auto"/>
          </w:divBdr>
        </w:div>
      </w:divsChild>
    </w:div>
    <w:div w:id="534347230">
      <w:marLeft w:val="0"/>
      <w:marRight w:val="0"/>
      <w:marTop w:val="0"/>
      <w:marBottom w:val="0"/>
      <w:divBdr>
        <w:top w:val="none" w:sz="0" w:space="0" w:color="auto"/>
        <w:left w:val="none" w:sz="0" w:space="0" w:color="auto"/>
        <w:bottom w:val="none" w:sz="0" w:space="0" w:color="auto"/>
        <w:right w:val="none" w:sz="0" w:space="0" w:color="auto"/>
      </w:divBdr>
      <w:divsChild>
        <w:div w:id="157842625">
          <w:marLeft w:val="0"/>
          <w:marRight w:val="0"/>
          <w:marTop w:val="0"/>
          <w:marBottom w:val="0"/>
          <w:divBdr>
            <w:top w:val="none" w:sz="0" w:space="0" w:color="auto"/>
            <w:left w:val="none" w:sz="0" w:space="0" w:color="auto"/>
            <w:bottom w:val="none" w:sz="0" w:space="0" w:color="auto"/>
            <w:right w:val="none" w:sz="0" w:space="0" w:color="auto"/>
          </w:divBdr>
        </w:div>
      </w:divsChild>
    </w:div>
    <w:div w:id="625547108">
      <w:marLeft w:val="0"/>
      <w:marRight w:val="0"/>
      <w:marTop w:val="0"/>
      <w:marBottom w:val="0"/>
      <w:divBdr>
        <w:top w:val="none" w:sz="0" w:space="0" w:color="auto"/>
        <w:left w:val="none" w:sz="0" w:space="0" w:color="auto"/>
        <w:bottom w:val="none" w:sz="0" w:space="0" w:color="auto"/>
        <w:right w:val="none" w:sz="0" w:space="0" w:color="auto"/>
      </w:divBdr>
      <w:divsChild>
        <w:div w:id="431783397">
          <w:marLeft w:val="0"/>
          <w:marRight w:val="0"/>
          <w:marTop w:val="0"/>
          <w:marBottom w:val="0"/>
          <w:divBdr>
            <w:top w:val="none" w:sz="0" w:space="0" w:color="auto"/>
            <w:left w:val="none" w:sz="0" w:space="0" w:color="auto"/>
            <w:bottom w:val="none" w:sz="0" w:space="0" w:color="auto"/>
            <w:right w:val="none" w:sz="0" w:space="0" w:color="auto"/>
          </w:divBdr>
        </w:div>
        <w:div w:id="1848790583">
          <w:marLeft w:val="0"/>
          <w:marRight w:val="0"/>
          <w:marTop w:val="0"/>
          <w:marBottom w:val="0"/>
          <w:divBdr>
            <w:top w:val="none" w:sz="0" w:space="0" w:color="auto"/>
            <w:left w:val="none" w:sz="0" w:space="0" w:color="auto"/>
            <w:bottom w:val="none" w:sz="0" w:space="0" w:color="auto"/>
            <w:right w:val="none" w:sz="0" w:space="0" w:color="auto"/>
          </w:divBdr>
        </w:div>
      </w:divsChild>
    </w:div>
    <w:div w:id="694187100">
      <w:marLeft w:val="0"/>
      <w:marRight w:val="0"/>
      <w:marTop w:val="0"/>
      <w:marBottom w:val="0"/>
      <w:divBdr>
        <w:top w:val="none" w:sz="0" w:space="0" w:color="auto"/>
        <w:left w:val="none" w:sz="0" w:space="0" w:color="auto"/>
        <w:bottom w:val="none" w:sz="0" w:space="0" w:color="auto"/>
        <w:right w:val="none" w:sz="0" w:space="0" w:color="auto"/>
      </w:divBdr>
      <w:divsChild>
        <w:div w:id="2137673277">
          <w:marLeft w:val="0"/>
          <w:marRight w:val="0"/>
          <w:marTop w:val="0"/>
          <w:marBottom w:val="0"/>
          <w:divBdr>
            <w:top w:val="none" w:sz="0" w:space="0" w:color="auto"/>
            <w:left w:val="none" w:sz="0" w:space="0" w:color="auto"/>
            <w:bottom w:val="none" w:sz="0" w:space="0" w:color="auto"/>
            <w:right w:val="none" w:sz="0" w:space="0" w:color="auto"/>
          </w:divBdr>
        </w:div>
        <w:div w:id="512033719">
          <w:marLeft w:val="0"/>
          <w:marRight w:val="0"/>
          <w:marTop w:val="0"/>
          <w:marBottom w:val="0"/>
          <w:divBdr>
            <w:top w:val="none" w:sz="0" w:space="0" w:color="auto"/>
            <w:left w:val="none" w:sz="0" w:space="0" w:color="auto"/>
            <w:bottom w:val="none" w:sz="0" w:space="0" w:color="auto"/>
            <w:right w:val="none" w:sz="0" w:space="0" w:color="auto"/>
          </w:divBdr>
        </w:div>
        <w:div w:id="287325971">
          <w:marLeft w:val="0"/>
          <w:marRight w:val="0"/>
          <w:marTop w:val="0"/>
          <w:marBottom w:val="0"/>
          <w:divBdr>
            <w:top w:val="none" w:sz="0" w:space="0" w:color="auto"/>
            <w:left w:val="none" w:sz="0" w:space="0" w:color="auto"/>
            <w:bottom w:val="none" w:sz="0" w:space="0" w:color="auto"/>
            <w:right w:val="none" w:sz="0" w:space="0" w:color="auto"/>
          </w:divBdr>
        </w:div>
        <w:div w:id="1475680405">
          <w:marLeft w:val="0"/>
          <w:marRight w:val="0"/>
          <w:marTop w:val="0"/>
          <w:marBottom w:val="0"/>
          <w:divBdr>
            <w:top w:val="none" w:sz="0" w:space="0" w:color="auto"/>
            <w:left w:val="none" w:sz="0" w:space="0" w:color="auto"/>
            <w:bottom w:val="none" w:sz="0" w:space="0" w:color="auto"/>
            <w:right w:val="none" w:sz="0" w:space="0" w:color="auto"/>
          </w:divBdr>
        </w:div>
        <w:div w:id="383023414">
          <w:marLeft w:val="0"/>
          <w:marRight w:val="0"/>
          <w:marTop w:val="0"/>
          <w:marBottom w:val="0"/>
          <w:divBdr>
            <w:top w:val="none" w:sz="0" w:space="0" w:color="auto"/>
            <w:left w:val="none" w:sz="0" w:space="0" w:color="auto"/>
            <w:bottom w:val="none" w:sz="0" w:space="0" w:color="auto"/>
            <w:right w:val="none" w:sz="0" w:space="0" w:color="auto"/>
          </w:divBdr>
        </w:div>
        <w:div w:id="1088892696">
          <w:marLeft w:val="0"/>
          <w:marRight w:val="0"/>
          <w:marTop w:val="0"/>
          <w:marBottom w:val="0"/>
          <w:divBdr>
            <w:top w:val="none" w:sz="0" w:space="0" w:color="auto"/>
            <w:left w:val="none" w:sz="0" w:space="0" w:color="auto"/>
            <w:bottom w:val="none" w:sz="0" w:space="0" w:color="auto"/>
            <w:right w:val="none" w:sz="0" w:space="0" w:color="auto"/>
          </w:divBdr>
        </w:div>
        <w:div w:id="1347056524">
          <w:marLeft w:val="0"/>
          <w:marRight w:val="0"/>
          <w:marTop w:val="0"/>
          <w:marBottom w:val="0"/>
          <w:divBdr>
            <w:top w:val="none" w:sz="0" w:space="0" w:color="auto"/>
            <w:left w:val="none" w:sz="0" w:space="0" w:color="auto"/>
            <w:bottom w:val="none" w:sz="0" w:space="0" w:color="auto"/>
            <w:right w:val="none" w:sz="0" w:space="0" w:color="auto"/>
          </w:divBdr>
        </w:div>
        <w:div w:id="1722903308">
          <w:marLeft w:val="0"/>
          <w:marRight w:val="0"/>
          <w:marTop w:val="0"/>
          <w:marBottom w:val="0"/>
          <w:divBdr>
            <w:top w:val="none" w:sz="0" w:space="0" w:color="auto"/>
            <w:left w:val="none" w:sz="0" w:space="0" w:color="auto"/>
            <w:bottom w:val="none" w:sz="0" w:space="0" w:color="auto"/>
            <w:right w:val="none" w:sz="0" w:space="0" w:color="auto"/>
          </w:divBdr>
        </w:div>
        <w:div w:id="1123232214">
          <w:marLeft w:val="0"/>
          <w:marRight w:val="0"/>
          <w:marTop w:val="0"/>
          <w:marBottom w:val="0"/>
          <w:divBdr>
            <w:top w:val="none" w:sz="0" w:space="0" w:color="auto"/>
            <w:left w:val="none" w:sz="0" w:space="0" w:color="auto"/>
            <w:bottom w:val="none" w:sz="0" w:space="0" w:color="auto"/>
            <w:right w:val="none" w:sz="0" w:space="0" w:color="auto"/>
          </w:divBdr>
        </w:div>
        <w:div w:id="13966656">
          <w:marLeft w:val="0"/>
          <w:marRight w:val="0"/>
          <w:marTop w:val="0"/>
          <w:marBottom w:val="0"/>
          <w:divBdr>
            <w:top w:val="none" w:sz="0" w:space="0" w:color="auto"/>
            <w:left w:val="none" w:sz="0" w:space="0" w:color="auto"/>
            <w:bottom w:val="none" w:sz="0" w:space="0" w:color="auto"/>
            <w:right w:val="none" w:sz="0" w:space="0" w:color="auto"/>
          </w:divBdr>
        </w:div>
        <w:div w:id="983849143">
          <w:marLeft w:val="0"/>
          <w:marRight w:val="0"/>
          <w:marTop w:val="0"/>
          <w:marBottom w:val="0"/>
          <w:divBdr>
            <w:top w:val="none" w:sz="0" w:space="0" w:color="auto"/>
            <w:left w:val="none" w:sz="0" w:space="0" w:color="auto"/>
            <w:bottom w:val="none" w:sz="0" w:space="0" w:color="auto"/>
            <w:right w:val="none" w:sz="0" w:space="0" w:color="auto"/>
          </w:divBdr>
        </w:div>
        <w:div w:id="83764920">
          <w:marLeft w:val="0"/>
          <w:marRight w:val="0"/>
          <w:marTop w:val="0"/>
          <w:marBottom w:val="0"/>
          <w:divBdr>
            <w:top w:val="none" w:sz="0" w:space="0" w:color="auto"/>
            <w:left w:val="none" w:sz="0" w:space="0" w:color="auto"/>
            <w:bottom w:val="none" w:sz="0" w:space="0" w:color="auto"/>
            <w:right w:val="none" w:sz="0" w:space="0" w:color="auto"/>
          </w:divBdr>
        </w:div>
        <w:div w:id="1733429398">
          <w:marLeft w:val="0"/>
          <w:marRight w:val="0"/>
          <w:marTop w:val="0"/>
          <w:marBottom w:val="0"/>
          <w:divBdr>
            <w:top w:val="none" w:sz="0" w:space="0" w:color="auto"/>
            <w:left w:val="none" w:sz="0" w:space="0" w:color="auto"/>
            <w:bottom w:val="none" w:sz="0" w:space="0" w:color="auto"/>
            <w:right w:val="none" w:sz="0" w:space="0" w:color="auto"/>
          </w:divBdr>
        </w:div>
        <w:div w:id="1946692546">
          <w:marLeft w:val="0"/>
          <w:marRight w:val="0"/>
          <w:marTop w:val="0"/>
          <w:marBottom w:val="0"/>
          <w:divBdr>
            <w:top w:val="none" w:sz="0" w:space="0" w:color="auto"/>
            <w:left w:val="none" w:sz="0" w:space="0" w:color="auto"/>
            <w:bottom w:val="none" w:sz="0" w:space="0" w:color="auto"/>
            <w:right w:val="none" w:sz="0" w:space="0" w:color="auto"/>
          </w:divBdr>
        </w:div>
        <w:div w:id="920912371">
          <w:marLeft w:val="0"/>
          <w:marRight w:val="0"/>
          <w:marTop w:val="0"/>
          <w:marBottom w:val="0"/>
          <w:divBdr>
            <w:top w:val="none" w:sz="0" w:space="0" w:color="auto"/>
            <w:left w:val="none" w:sz="0" w:space="0" w:color="auto"/>
            <w:bottom w:val="none" w:sz="0" w:space="0" w:color="auto"/>
            <w:right w:val="none" w:sz="0" w:space="0" w:color="auto"/>
          </w:divBdr>
        </w:div>
        <w:div w:id="1519658484">
          <w:marLeft w:val="0"/>
          <w:marRight w:val="0"/>
          <w:marTop w:val="0"/>
          <w:marBottom w:val="0"/>
          <w:divBdr>
            <w:top w:val="none" w:sz="0" w:space="0" w:color="auto"/>
            <w:left w:val="none" w:sz="0" w:space="0" w:color="auto"/>
            <w:bottom w:val="none" w:sz="0" w:space="0" w:color="auto"/>
            <w:right w:val="none" w:sz="0" w:space="0" w:color="auto"/>
          </w:divBdr>
        </w:div>
        <w:div w:id="511459214">
          <w:marLeft w:val="0"/>
          <w:marRight w:val="0"/>
          <w:marTop w:val="0"/>
          <w:marBottom w:val="0"/>
          <w:divBdr>
            <w:top w:val="none" w:sz="0" w:space="0" w:color="auto"/>
            <w:left w:val="none" w:sz="0" w:space="0" w:color="auto"/>
            <w:bottom w:val="none" w:sz="0" w:space="0" w:color="auto"/>
            <w:right w:val="none" w:sz="0" w:space="0" w:color="auto"/>
          </w:divBdr>
        </w:div>
        <w:div w:id="1098022869">
          <w:marLeft w:val="0"/>
          <w:marRight w:val="0"/>
          <w:marTop w:val="0"/>
          <w:marBottom w:val="0"/>
          <w:divBdr>
            <w:top w:val="none" w:sz="0" w:space="0" w:color="auto"/>
            <w:left w:val="none" w:sz="0" w:space="0" w:color="auto"/>
            <w:bottom w:val="none" w:sz="0" w:space="0" w:color="auto"/>
            <w:right w:val="none" w:sz="0" w:space="0" w:color="auto"/>
          </w:divBdr>
        </w:div>
        <w:div w:id="994144509">
          <w:marLeft w:val="0"/>
          <w:marRight w:val="0"/>
          <w:marTop w:val="0"/>
          <w:marBottom w:val="0"/>
          <w:divBdr>
            <w:top w:val="none" w:sz="0" w:space="0" w:color="auto"/>
            <w:left w:val="none" w:sz="0" w:space="0" w:color="auto"/>
            <w:bottom w:val="none" w:sz="0" w:space="0" w:color="auto"/>
            <w:right w:val="none" w:sz="0" w:space="0" w:color="auto"/>
          </w:divBdr>
        </w:div>
        <w:div w:id="831943730">
          <w:marLeft w:val="0"/>
          <w:marRight w:val="0"/>
          <w:marTop w:val="0"/>
          <w:marBottom w:val="0"/>
          <w:divBdr>
            <w:top w:val="none" w:sz="0" w:space="0" w:color="auto"/>
            <w:left w:val="none" w:sz="0" w:space="0" w:color="auto"/>
            <w:bottom w:val="none" w:sz="0" w:space="0" w:color="auto"/>
            <w:right w:val="none" w:sz="0" w:space="0" w:color="auto"/>
          </w:divBdr>
        </w:div>
        <w:div w:id="1480149224">
          <w:marLeft w:val="0"/>
          <w:marRight w:val="0"/>
          <w:marTop w:val="0"/>
          <w:marBottom w:val="0"/>
          <w:divBdr>
            <w:top w:val="none" w:sz="0" w:space="0" w:color="auto"/>
            <w:left w:val="none" w:sz="0" w:space="0" w:color="auto"/>
            <w:bottom w:val="none" w:sz="0" w:space="0" w:color="auto"/>
            <w:right w:val="none" w:sz="0" w:space="0" w:color="auto"/>
          </w:divBdr>
        </w:div>
        <w:div w:id="293875479">
          <w:marLeft w:val="0"/>
          <w:marRight w:val="0"/>
          <w:marTop w:val="0"/>
          <w:marBottom w:val="0"/>
          <w:divBdr>
            <w:top w:val="none" w:sz="0" w:space="0" w:color="auto"/>
            <w:left w:val="none" w:sz="0" w:space="0" w:color="auto"/>
            <w:bottom w:val="none" w:sz="0" w:space="0" w:color="auto"/>
            <w:right w:val="none" w:sz="0" w:space="0" w:color="auto"/>
          </w:divBdr>
        </w:div>
        <w:div w:id="652756054">
          <w:marLeft w:val="0"/>
          <w:marRight w:val="0"/>
          <w:marTop w:val="0"/>
          <w:marBottom w:val="0"/>
          <w:divBdr>
            <w:top w:val="none" w:sz="0" w:space="0" w:color="auto"/>
            <w:left w:val="none" w:sz="0" w:space="0" w:color="auto"/>
            <w:bottom w:val="none" w:sz="0" w:space="0" w:color="auto"/>
            <w:right w:val="none" w:sz="0" w:space="0" w:color="auto"/>
          </w:divBdr>
        </w:div>
        <w:div w:id="777259590">
          <w:marLeft w:val="0"/>
          <w:marRight w:val="0"/>
          <w:marTop w:val="0"/>
          <w:marBottom w:val="0"/>
          <w:divBdr>
            <w:top w:val="none" w:sz="0" w:space="0" w:color="auto"/>
            <w:left w:val="none" w:sz="0" w:space="0" w:color="auto"/>
            <w:bottom w:val="none" w:sz="0" w:space="0" w:color="auto"/>
            <w:right w:val="none" w:sz="0" w:space="0" w:color="auto"/>
          </w:divBdr>
        </w:div>
        <w:div w:id="1020743827">
          <w:marLeft w:val="0"/>
          <w:marRight w:val="0"/>
          <w:marTop w:val="0"/>
          <w:marBottom w:val="0"/>
          <w:divBdr>
            <w:top w:val="none" w:sz="0" w:space="0" w:color="auto"/>
            <w:left w:val="none" w:sz="0" w:space="0" w:color="auto"/>
            <w:bottom w:val="none" w:sz="0" w:space="0" w:color="auto"/>
            <w:right w:val="none" w:sz="0" w:space="0" w:color="auto"/>
          </w:divBdr>
        </w:div>
      </w:divsChild>
    </w:div>
    <w:div w:id="711424721">
      <w:marLeft w:val="0"/>
      <w:marRight w:val="0"/>
      <w:marTop w:val="0"/>
      <w:marBottom w:val="0"/>
      <w:divBdr>
        <w:top w:val="none" w:sz="0" w:space="0" w:color="auto"/>
        <w:left w:val="none" w:sz="0" w:space="0" w:color="auto"/>
        <w:bottom w:val="none" w:sz="0" w:space="0" w:color="auto"/>
        <w:right w:val="none" w:sz="0" w:space="0" w:color="auto"/>
      </w:divBdr>
      <w:divsChild>
        <w:div w:id="1812868009">
          <w:marLeft w:val="0"/>
          <w:marRight w:val="0"/>
          <w:marTop w:val="0"/>
          <w:marBottom w:val="0"/>
          <w:divBdr>
            <w:top w:val="none" w:sz="0" w:space="0" w:color="auto"/>
            <w:left w:val="none" w:sz="0" w:space="0" w:color="auto"/>
            <w:bottom w:val="none" w:sz="0" w:space="0" w:color="auto"/>
            <w:right w:val="none" w:sz="0" w:space="0" w:color="auto"/>
          </w:divBdr>
        </w:div>
        <w:div w:id="1974095375">
          <w:marLeft w:val="0"/>
          <w:marRight w:val="0"/>
          <w:marTop w:val="0"/>
          <w:marBottom w:val="0"/>
          <w:divBdr>
            <w:top w:val="none" w:sz="0" w:space="0" w:color="auto"/>
            <w:left w:val="none" w:sz="0" w:space="0" w:color="auto"/>
            <w:bottom w:val="none" w:sz="0" w:space="0" w:color="auto"/>
            <w:right w:val="none" w:sz="0" w:space="0" w:color="auto"/>
          </w:divBdr>
        </w:div>
        <w:div w:id="776100773">
          <w:marLeft w:val="0"/>
          <w:marRight w:val="0"/>
          <w:marTop w:val="0"/>
          <w:marBottom w:val="0"/>
          <w:divBdr>
            <w:top w:val="none" w:sz="0" w:space="0" w:color="auto"/>
            <w:left w:val="none" w:sz="0" w:space="0" w:color="auto"/>
            <w:bottom w:val="none" w:sz="0" w:space="0" w:color="auto"/>
            <w:right w:val="none" w:sz="0" w:space="0" w:color="auto"/>
          </w:divBdr>
        </w:div>
        <w:div w:id="1739787793">
          <w:marLeft w:val="0"/>
          <w:marRight w:val="0"/>
          <w:marTop w:val="0"/>
          <w:marBottom w:val="0"/>
          <w:divBdr>
            <w:top w:val="none" w:sz="0" w:space="0" w:color="auto"/>
            <w:left w:val="none" w:sz="0" w:space="0" w:color="auto"/>
            <w:bottom w:val="none" w:sz="0" w:space="0" w:color="auto"/>
            <w:right w:val="none" w:sz="0" w:space="0" w:color="auto"/>
          </w:divBdr>
        </w:div>
      </w:divsChild>
    </w:div>
    <w:div w:id="862861040">
      <w:marLeft w:val="0"/>
      <w:marRight w:val="0"/>
      <w:marTop w:val="0"/>
      <w:marBottom w:val="0"/>
      <w:divBdr>
        <w:top w:val="none" w:sz="0" w:space="0" w:color="auto"/>
        <w:left w:val="none" w:sz="0" w:space="0" w:color="auto"/>
        <w:bottom w:val="none" w:sz="0" w:space="0" w:color="auto"/>
        <w:right w:val="none" w:sz="0" w:space="0" w:color="auto"/>
      </w:divBdr>
      <w:divsChild>
        <w:div w:id="1581015598">
          <w:marLeft w:val="0"/>
          <w:marRight w:val="0"/>
          <w:marTop w:val="0"/>
          <w:marBottom w:val="0"/>
          <w:divBdr>
            <w:top w:val="none" w:sz="0" w:space="0" w:color="auto"/>
            <w:left w:val="none" w:sz="0" w:space="0" w:color="auto"/>
            <w:bottom w:val="none" w:sz="0" w:space="0" w:color="auto"/>
            <w:right w:val="none" w:sz="0" w:space="0" w:color="auto"/>
          </w:divBdr>
        </w:div>
        <w:div w:id="730274047">
          <w:marLeft w:val="0"/>
          <w:marRight w:val="0"/>
          <w:marTop w:val="0"/>
          <w:marBottom w:val="0"/>
          <w:divBdr>
            <w:top w:val="none" w:sz="0" w:space="0" w:color="auto"/>
            <w:left w:val="none" w:sz="0" w:space="0" w:color="auto"/>
            <w:bottom w:val="none" w:sz="0" w:space="0" w:color="auto"/>
            <w:right w:val="none" w:sz="0" w:space="0" w:color="auto"/>
          </w:divBdr>
        </w:div>
        <w:div w:id="2017727645">
          <w:marLeft w:val="0"/>
          <w:marRight w:val="0"/>
          <w:marTop w:val="0"/>
          <w:marBottom w:val="0"/>
          <w:divBdr>
            <w:top w:val="none" w:sz="0" w:space="0" w:color="auto"/>
            <w:left w:val="none" w:sz="0" w:space="0" w:color="auto"/>
            <w:bottom w:val="none" w:sz="0" w:space="0" w:color="auto"/>
            <w:right w:val="none" w:sz="0" w:space="0" w:color="auto"/>
          </w:divBdr>
        </w:div>
        <w:div w:id="1377271366">
          <w:marLeft w:val="0"/>
          <w:marRight w:val="0"/>
          <w:marTop w:val="0"/>
          <w:marBottom w:val="0"/>
          <w:divBdr>
            <w:top w:val="none" w:sz="0" w:space="0" w:color="auto"/>
            <w:left w:val="none" w:sz="0" w:space="0" w:color="auto"/>
            <w:bottom w:val="none" w:sz="0" w:space="0" w:color="auto"/>
            <w:right w:val="none" w:sz="0" w:space="0" w:color="auto"/>
          </w:divBdr>
        </w:div>
        <w:div w:id="71007970">
          <w:marLeft w:val="0"/>
          <w:marRight w:val="0"/>
          <w:marTop w:val="0"/>
          <w:marBottom w:val="0"/>
          <w:divBdr>
            <w:top w:val="none" w:sz="0" w:space="0" w:color="auto"/>
            <w:left w:val="none" w:sz="0" w:space="0" w:color="auto"/>
            <w:bottom w:val="none" w:sz="0" w:space="0" w:color="auto"/>
            <w:right w:val="none" w:sz="0" w:space="0" w:color="auto"/>
          </w:divBdr>
        </w:div>
        <w:div w:id="1057361045">
          <w:marLeft w:val="0"/>
          <w:marRight w:val="0"/>
          <w:marTop w:val="0"/>
          <w:marBottom w:val="0"/>
          <w:divBdr>
            <w:top w:val="none" w:sz="0" w:space="0" w:color="auto"/>
            <w:left w:val="none" w:sz="0" w:space="0" w:color="auto"/>
            <w:bottom w:val="none" w:sz="0" w:space="0" w:color="auto"/>
            <w:right w:val="none" w:sz="0" w:space="0" w:color="auto"/>
          </w:divBdr>
        </w:div>
      </w:divsChild>
    </w:div>
    <w:div w:id="920337189">
      <w:marLeft w:val="0"/>
      <w:marRight w:val="0"/>
      <w:marTop w:val="0"/>
      <w:marBottom w:val="0"/>
      <w:divBdr>
        <w:top w:val="none" w:sz="0" w:space="0" w:color="auto"/>
        <w:left w:val="none" w:sz="0" w:space="0" w:color="auto"/>
        <w:bottom w:val="none" w:sz="0" w:space="0" w:color="auto"/>
        <w:right w:val="none" w:sz="0" w:space="0" w:color="auto"/>
      </w:divBdr>
      <w:divsChild>
        <w:div w:id="2107264095">
          <w:marLeft w:val="0"/>
          <w:marRight w:val="0"/>
          <w:marTop w:val="0"/>
          <w:marBottom w:val="0"/>
          <w:divBdr>
            <w:top w:val="none" w:sz="0" w:space="0" w:color="auto"/>
            <w:left w:val="none" w:sz="0" w:space="0" w:color="auto"/>
            <w:bottom w:val="none" w:sz="0" w:space="0" w:color="auto"/>
            <w:right w:val="none" w:sz="0" w:space="0" w:color="auto"/>
          </w:divBdr>
        </w:div>
        <w:div w:id="1768888494">
          <w:marLeft w:val="0"/>
          <w:marRight w:val="0"/>
          <w:marTop w:val="0"/>
          <w:marBottom w:val="0"/>
          <w:divBdr>
            <w:top w:val="none" w:sz="0" w:space="0" w:color="auto"/>
            <w:left w:val="none" w:sz="0" w:space="0" w:color="auto"/>
            <w:bottom w:val="none" w:sz="0" w:space="0" w:color="auto"/>
            <w:right w:val="none" w:sz="0" w:space="0" w:color="auto"/>
          </w:divBdr>
        </w:div>
        <w:div w:id="685134678">
          <w:marLeft w:val="0"/>
          <w:marRight w:val="0"/>
          <w:marTop w:val="0"/>
          <w:marBottom w:val="0"/>
          <w:divBdr>
            <w:top w:val="none" w:sz="0" w:space="0" w:color="auto"/>
            <w:left w:val="none" w:sz="0" w:space="0" w:color="auto"/>
            <w:bottom w:val="none" w:sz="0" w:space="0" w:color="auto"/>
            <w:right w:val="none" w:sz="0" w:space="0" w:color="auto"/>
          </w:divBdr>
        </w:div>
      </w:divsChild>
    </w:div>
    <w:div w:id="942299520">
      <w:marLeft w:val="0"/>
      <w:marRight w:val="0"/>
      <w:marTop w:val="0"/>
      <w:marBottom w:val="0"/>
      <w:divBdr>
        <w:top w:val="none" w:sz="0" w:space="0" w:color="auto"/>
        <w:left w:val="none" w:sz="0" w:space="0" w:color="auto"/>
        <w:bottom w:val="none" w:sz="0" w:space="0" w:color="auto"/>
        <w:right w:val="none" w:sz="0" w:space="0" w:color="auto"/>
      </w:divBdr>
      <w:divsChild>
        <w:div w:id="1385565672">
          <w:marLeft w:val="0"/>
          <w:marRight w:val="0"/>
          <w:marTop w:val="0"/>
          <w:marBottom w:val="0"/>
          <w:divBdr>
            <w:top w:val="none" w:sz="0" w:space="0" w:color="auto"/>
            <w:left w:val="none" w:sz="0" w:space="0" w:color="auto"/>
            <w:bottom w:val="none" w:sz="0" w:space="0" w:color="auto"/>
            <w:right w:val="none" w:sz="0" w:space="0" w:color="auto"/>
          </w:divBdr>
        </w:div>
        <w:div w:id="177083331">
          <w:marLeft w:val="0"/>
          <w:marRight w:val="0"/>
          <w:marTop w:val="0"/>
          <w:marBottom w:val="0"/>
          <w:divBdr>
            <w:top w:val="none" w:sz="0" w:space="0" w:color="auto"/>
            <w:left w:val="none" w:sz="0" w:space="0" w:color="auto"/>
            <w:bottom w:val="none" w:sz="0" w:space="0" w:color="auto"/>
            <w:right w:val="none" w:sz="0" w:space="0" w:color="auto"/>
          </w:divBdr>
        </w:div>
        <w:div w:id="1079908854">
          <w:marLeft w:val="0"/>
          <w:marRight w:val="0"/>
          <w:marTop w:val="0"/>
          <w:marBottom w:val="0"/>
          <w:divBdr>
            <w:top w:val="none" w:sz="0" w:space="0" w:color="auto"/>
            <w:left w:val="none" w:sz="0" w:space="0" w:color="auto"/>
            <w:bottom w:val="none" w:sz="0" w:space="0" w:color="auto"/>
            <w:right w:val="none" w:sz="0" w:space="0" w:color="auto"/>
          </w:divBdr>
        </w:div>
        <w:div w:id="1927572262">
          <w:marLeft w:val="0"/>
          <w:marRight w:val="0"/>
          <w:marTop w:val="0"/>
          <w:marBottom w:val="0"/>
          <w:divBdr>
            <w:top w:val="none" w:sz="0" w:space="0" w:color="auto"/>
            <w:left w:val="none" w:sz="0" w:space="0" w:color="auto"/>
            <w:bottom w:val="none" w:sz="0" w:space="0" w:color="auto"/>
            <w:right w:val="none" w:sz="0" w:space="0" w:color="auto"/>
          </w:divBdr>
        </w:div>
        <w:div w:id="932320801">
          <w:marLeft w:val="0"/>
          <w:marRight w:val="0"/>
          <w:marTop w:val="0"/>
          <w:marBottom w:val="0"/>
          <w:divBdr>
            <w:top w:val="none" w:sz="0" w:space="0" w:color="auto"/>
            <w:left w:val="none" w:sz="0" w:space="0" w:color="auto"/>
            <w:bottom w:val="none" w:sz="0" w:space="0" w:color="auto"/>
            <w:right w:val="none" w:sz="0" w:space="0" w:color="auto"/>
          </w:divBdr>
        </w:div>
        <w:div w:id="2143886040">
          <w:marLeft w:val="0"/>
          <w:marRight w:val="0"/>
          <w:marTop w:val="0"/>
          <w:marBottom w:val="0"/>
          <w:divBdr>
            <w:top w:val="none" w:sz="0" w:space="0" w:color="auto"/>
            <w:left w:val="none" w:sz="0" w:space="0" w:color="auto"/>
            <w:bottom w:val="none" w:sz="0" w:space="0" w:color="auto"/>
            <w:right w:val="none" w:sz="0" w:space="0" w:color="auto"/>
          </w:divBdr>
        </w:div>
        <w:div w:id="1354110161">
          <w:marLeft w:val="0"/>
          <w:marRight w:val="0"/>
          <w:marTop w:val="0"/>
          <w:marBottom w:val="0"/>
          <w:divBdr>
            <w:top w:val="none" w:sz="0" w:space="0" w:color="auto"/>
            <w:left w:val="none" w:sz="0" w:space="0" w:color="auto"/>
            <w:bottom w:val="none" w:sz="0" w:space="0" w:color="auto"/>
            <w:right w:val="none" w:sz="0" w:space="0" w:color="auto"/>
          </w:divBdr>
        </w:div>
        <w:div w:id="831221148">
          <w:marLeft w:val="0"/>
          <w:marRight w:val="0"/>
          <w:marTop w:val="0"/>
          <w:marBottom w:val="0"/>
          <w:divBdr>
            <w:top w:val="none" w:sz="0" w:space="0" w:color="auto"/>
            <w:left w:val="none" w:sz="0" w:space="0" w:color="auto"/>
            <w:bottom w:val="none" w:sz="0" w:space="0" w:color="auto"/>
            <w:right w:val="none" w:sz="0" w:space="0" w:color="auto"/>
          </w:divBdr>
        </w:div>
        <w:div w:id="596207131">
          <w:marLeft w:val="0"/>
          <w:marRight w:val="0"/>
          <w:marTop w:val="0"/>
          <w:marBottom w:val="0"/>
          <w:divBdr>
            <w:top w:val="none" w:sz="0" w:space="0" w:color="auto"/>
            <w:left w:val="none" w:sz="0" w:space="0" w:color="auto"/>
            <w:bottom w:val="none" w:sz="0" w:space="0" w:color="auto"/>
            <w:right w:val="none" w:sz="0" w:space="0" w:color="auto"/>
          </w:divBdr>
        </w:div>
      </w:divsChild>
    </w:div>
    <w:div w:id="965896181">
      <w:marLeft w:val="0"/>
      <w:marRight w:val="0"/>
      <w:marTop w:val="0"/>
      <w:marBottom w:val="0"/>
      <w:divBdr>
        <w:top w:val="none" w:sz="0" w:space="0" w:color="auto"/>
        <w:left w:val="none" w:sz="0" w:space="0" w:color="auto"/>
        <w:bottom w:val="none" w:sz="0" w:space="0" w:color="auto"/>
        <w:right w:val="none" w:sz="0" w:space="0" w:color="auto"/>
      </w:divBdr>
      <w:divsChild>
        <w:div w:id="1987397522">
          <w:marLeft w:val="0"/>
          <w:marRight w:val="0"/>
          <w:marTop w:val="0"/>
          <w:marBottom w:val="0"/>
          <w:divBdr>
            <w:top w:val="none" w:sz="0" w:space="0" w:color="auto"/>
            <w:left w:val="none" w:sz="0" w:space="0" w:color="auto"/>
            <w:bottom w:val="none" w:sz="0" w:space="0" w:color="auto"/>
            <w:right w:val="none" w:sz="0" w:space="0" w:color="auto"/>
          </w:divBdr>
        </w:div>
        <w:div w:id="1176073452">
          <w:marLeft w:val="0"/>
          <w:marRight w:val="0"/>
          <w:marTop w:val="0"/>
          <w:marBottom w:val="0"/>
          <w:divBdr>
            <w:top w:val="none" w:sz="0" w:space="0" w:color="auto"/>
            <w:left w:val="none" w:sz="0" w:space="0" w:color="auto"/>
            <w:bottom w:val="none" w:sz="0" w:space="0" w:color="auto"/>
            <w:right w:val="none" w:sz="0" w:space="0" w:color="auto"/>
          </w:divBdr>
        </w:div>
      </w:divsChild>
    </w:div>
    <w:div w:id="1127044959">
      <w:marLeft w:val="0"/>
      <w:marRight w:val="0"/>
      <w:marTop w:val="0"/>
      <w:marBottom w:val="0"/>
      <w:divBdr>
        <w:top w:val="none" w:sz="0" w:space="0" w:color="auto"/>
        <w:left w:val="none" w:sz="0" w:space="0" w:color="auto"/>
        <w:bottom w:val="none" w:sz="0" w:space="0" w:color="auto"/>
        <w:right w:val="none" w:sz="0" w:space="0" w:color="auto"/>
      </w:divBdr>
      <w:divsChild>
        <w:div w:id="720055673">
          <w:marLeft w:val="0"/>
          <w:marRight w:val="0"/>
          <w:marTop w:val="0"/>
          <w:marBottom w:val="0"/>
          <w:divBdr>
            <w:top w:val="none" w:sz="0" w:space="0" w:color="auto"/>
            <w:left w:val="none" w:sz="0" w:space="0" w:color="auto"/>
            <w:bottom w:val="none" w:sz="0" w:space="0" w:color="auto"/>
            <w:right w:val="none" w:sz="0" w:space="0" w:color="auto"/>
          </w:divBdr>
        </w:div>
        <w:div w:id="278882043">
          <w:marLeft w:val="0"/>
          <w:marRight w:val="0"/>
          <w:marTop w:val="0"/>
          <w:marBottom w:val="0"/>
          <w:divBdr>
            <w:top w:val="none" w:sz="0" w:space="0" w:color="auto"/>
            <w:left w:val="none" w:sz="0" w:space="0" w:color="auto"/>
            <w:bottom w:val="none" w:sz="0" w:space="0" w:color="auto"/>
            <w:right w:val="none" w:sz="0" w:space="0" w:color="auto"/>
          </w:divBdr>
        </w:div>
        <w:div w:id="1550411735">
          <w:marLeft w:val="0"/>
          <w:marRight w:val="0"/>
          <w:marTop w:val="0"/>
          <w:marBottom w:val="0"/>
          <w:divBdr>
            <w:top w:val="none" w:sz="0" w:space="0" w:color="auto"/>
            <w:left w:val="none" w:sz="0" w:space="0" w:color="auto"/>
            <w:bottom w:val="none" w:sz="0" w:space="0" w:color="auto"/>
            <w:right w:val="none" w:sz="0" w:space="0" w:color="auto"/>
          </w:divBdr>
        </w:div>
        <w:div w:id="955136937">
          <w:marLeft w:val="0"/>
          <w:marRight w:val="0"/>
          <w:marTop w:val="0"/>
          <w:marBottom w:val="0"/>
          <w:divBdr>
            <w:top w:val="none" w:sz="0" w:space="0" w:color="auto"/>
            <w:left w:val="none" w:sz="0" w:space="0" w:color="auto"/>
            <w:bottom w:val="none" w:sz="0" w:space="0" w:color="auto"/>
            <w:right w:val="none" w:sz="0" w:space="0" w:color="auto"/>
          </w:divBdr>
        </w:div>
        <w:div w:id="1415319644">
          <w:marLeft w:val="0"/>
          <w:marRight w:val="0"/>
          <w:marTop w:val="0"/>
          <w:marBottom w:val="0"/>
          <w:divBdr>
            <w:top w:val="none" w:sz="0" w:space="0" w:color="auto"/>
            <w:left w:val="none" w:sz="0" w:space="0" w:color="auto"/>
            <w:bottom w:val="none" w:sz="0" w:space="0" w:color="auto"/>
            <w:right w:val="none" w:sz="0" w:space="0" w:color="auto"/>
          </w:divBdr>
        </w:div>
        <w:div w:id="467476136">
          <w:marLeft w:val="0"/>
          <w:marRight w:val="0"/>
          <w:marTop w:val="0"/>
          <w:marBottom w:val="0"/>
          <w:divBdr>
            <w:top w:val="none" w:sz="0" w:space="0" w:color="auto"/>
            <w:left w:val="none" w:sz="0" w:space="0" w:color="auto"/>
            <w:bottom w:val="none" w:sz="0" w:space="0" w:color="auto"/>
            <w:right w:val="none" w:sz="0" w:space="0" w:color="auto"/>
          </w:divBdr>
        </w:div>
        <w:div w:id="775756872">
          <w:marLeft w:val="0"/>
          <w:marRight w:val="0"/>
          <w:marTop w:val="0"/>
          <w:marBottom w:val="0"/>
          <w:divBdr>
            <w:top w:val="none" w:sz="0" w:space="0" w:color="auto"/>
            <w:left w:val="none" w:sz="0" w:space="0" w:color="auto"/>
            <w:bottom w:val="none" w:sz="0" w:space="0" w:color="auto"/>
            <w:right w:val="none" w:sz="0" w:space="0" w:color="auto"/>
          </w:divBdr>
        </w:div>
        <w:div w:id="411121272">
          <w:marLeft w:val="0"/>
          <w:marRight w:val="0"/>
          <w:marTop w:val="0"/>
          <w:marBottom w:val="0"/>
          <w:divBdr>
            <w:top w:val="none" w:sz="0" w:space="0" w:color="auto"/>
            <w:left w:val="none" w:sz="0" w:space="0" w:color="auto"/>
            <w:bottom w:val="none" w:sz="0" w:space="0" w:color="auto"/>
            <w:right w:val="none" w:sz="0" w:space="0" w:color="auto"/>
          </w:divBdr>
        </w:div>
        <w:div w:id="834150092">
          <w:marLeft w:val="0"/>
          <w:marRight w:val="0"/>
          <w:marTop w:val="0"/>
          <w:marBottom w:val="0"/>
          <w:divBdr>
            <w:top w:val="none" w:sz="0" w:space="0" w:color="auto"/>
            <w:left w:val="none" w:sz="0" w:space="0" w:color="auto"/>
            <w:bottom w:val="none" w:sz="0" w:space="0" w:color="auto"/>
            <w:right w:val="none" w:sz="0" w:space="0" w:color="auto"/>
          </w:divBdr>
        </w:div>
        <w:div w:id="91782882">
          <w:marLeft w:val="0"/>
          <w:marRight w:val="0"/>
          <w:marTop w:val="0"/>
          <w:marBottom w:val="0"/>
          <w:divBdr>
            <w:top w:val="none" w:sz="0" w:space="0" w:color="auto"/>
            <w:left w:val="none" w:sz="0" w:space="0" w:color="auto"/>
            <w:bottom w:val="none" w:sz="0" w:space="0" w:color="auto"/>
            <w:right w:val="none" w:sz="0" w:space="0" w:color="auto"/>
          </w:divBdr>
        </w:div>
        <w:div w:id="1578126904">
          <w:marLeft w:val="0"/>
          <w:marRight w:val="0"/>
          <w:marTop w:val="0"/>
          <w:marBottom w:val="0"/>
          <w:divBdr>
            <w:top w:val="none" w:sz="0" w:space="0" w:color="auto"/>
            <w:left w:val="none" w:sz="0" w:space="0" w:color="auto"/>
            <w:bottom w:val="none" w:sz="0" w:space="0" w:color="auto"/>
            <w:right w:val="none" w:sz="0" w:space="0" w:color="auto"/>
          </w:divBdr>
        </w:div>
        <w:div w:id="1700543364">
          <w:marLeft w:val="0"/>
          <w:marRight w:val="0"/>
          <w:marTop w:val="0"/>
          <w:marBottom w:val="0"/>
          <w:divBdr>
            <w:top w:val="none" w:sz="0" w:space="0" w:color="auto"/>
            <w:left w:val="none" w:sz="0" w:space="0" w:color="auto"/>
            <w:bottom w:val="none" w:sz="0" w:space="0" w:color="auto"/>
            <w:right w:val="none" w:sz="0" w:space="0" w:color="auto"/>
          </w:divBdr>
        </w:div>
        <w:div w:id="1300696143">
          <w:marLeft w:val="0"/>
          <w:marRight w:val="0"/>
          <w:marTop w:val="0"/>
          <w:marBottom w:val="0"/>
          <w:divBdr>
            <w:top w:val="none" w:sz="0" w:space="0" w:color="auto"/>
            <w:left w:val="none" w:sz="0" w:space="0" w:color="auto"/>
            <w:bottom w:val="none" w:sz="0" w:space="0" w:color="auto"/>
            <w:right w:val="none" w:sz="0" w:space="0" w:color="auto"/>
          </w:divBdr>
        </w:div>
      </w:divsChild>
    </w:div>
    <w:div w:id="1194611256">
      <w:marLeft w:val="0"/>
      <w:marRight w:val="0"/>
      <w:marTop w:val="0"/>
      <w:marBottom w:val="0"/>
      <w:divBdr>
        <w:top w:val="none" w:sz="0" w:space="0" w:color="auto"/>
        <w:left w:val="none" w:sz="0" w:space="0" w:color="auto"/>
        <w:bottom w:val="none" w:sz="0" w:space="0" w:color="auto"/>
        <w:right w:val="none" w:sz="0" w:space="0" w:color="auto"/>
      </w:divBdr>
      <w:divsChild>
        <w:div w:id="1483472933">
          <w:marLeft w:val="0"/>
          <w:marRight w:val="0"/>
          <w:marTop w:val="0"/>
          <w:marBottom w:val="0"/>
          <w:divBdr>
            <w:top w:val="none" w:sz="0" w:space="0" w:color="auto"/>
            <w:left w:val="none" w:sz="0" w:space="0" w:color="auto"/>
            <w:bottom w:val="none" w:sz="0" w:space="0" w:color="auto"/>
            <w:right w:val="none" w:sz="0" w:space="0" w:color="auto"/>
          </w:divBdr>
        </w:div>
        <w:div w:id="308705497">
          <w:marLeft w:val="0"/>
          <w:marRight w:val="0"/>
          <w:marTop w:val="0"/>
          <w:marBottom w:val="0"/>
          <w:divBdr>
            <w:top w:val="none" w:sz="0" w:space="0" w:color="auto"/>
            <w:left w:val="none" w:sz="0" w:space="0" w:color="auto"/>
            <w:bottom w:val="none" w:sz="0" w:space="0" w:color="auto"/>
            <w:right w:val="none" w:sz="0" w:space="0" w:color="auto"/>
          </w:divBdr>
        </w:div>
      </w:divsChild>
    </w:div>
    <w:div w:id="1646619952">
      <w:marLeft w:val="0"/>
      <w:marRight w:val="0"/>
      <w:marTop w:val="0"/>
      <w:marBottom w:val="0"/>
      <w:divBdr>
        <w:top w:val="none" w:sz="0" w:space="0" w:color="auto"/>
        <w:left w:val="none" w:sz="0" w:space="0" w:color="auto"/>
        <w:bottom w:val="none" w:sz="0" w:space="0" w:color="auto"/>
        <w:right w:val="none" w:sz="0" w:space="0" w:color="auto"/>
      </w:divBdr>
      <w:divsChild>
        <w:div w:id="571088565">
          <w:marLeft w:val="0"/>
          <w:marRight w:val="0"/>
          <w:marTop w:val="0"/>
          <w:marBottom w:val="0"/>
          <w:divBdr>
            <w:top w:val="none" w:sz="0" w:space="0" w:color="auto"/>
            <w:left w:val="none" w:sz="0" w:space="0" w:color="auto"/>
            <w:bottom w:val="none" w:sz="0" w:space="0" w:color="auto"/>
            <w:right w:val="none" w:sz="0" w:space="0" w:color="auto"/>
          </w:divBdr>
        </w:div>
        <w:div w:id="201482781">
          <w:marLeft w:val="0"/>
          <w:marRight w:val="0"/>
          <w:marTop w:val="0"/>
          <w:marBottom w:val="0"/>
          <w:divBdr>
            <w:top w:val="none" w:sz="0" w:space="0" w:color="auto"/>
            <w:left w:val="none" w:sz="0" w:space="0" w:color="auto"/>
            <w:bottom w:val="none" w:sz="0" w:space="0" w:color="auto"/>
            <w:right w:val="none" w:sz="0" w:space="0" w:color="auto"/>
          </w:divBdr>
        </w:div>
        <w:div w:id="596061089">
          <w:marLeft w:val="0"/>
          <w:marRight w:val="0"/>
          <w:marTop w:val="0"/>
          <w:marBottom w:val="0"/>
          <w:divBdr>
            <w:top w:val="none" w:sz="0" w:space="0" w:color="auto"/>
            <w:left w:val="none" w:sz="0" w:space="0" w:color="auto"/>
            <w:bottom w:val="none" w:sz="0" w:space="0" w:color="auto"/>
            <w:right w:val="none" w:sz="0" w:space="0" w:color="auto"/>
          </w:divBdr>
        </w:div>
      </w:divsChild>
    </w:div>
    <w:div w:id="1701127173">
      <w:marLeft w:val="0"/>
      <w:marRight w:val="0"/>
      <w:marTop w:val="0"/>
      <w:marBottom w:val="0"/>
      <w:divBdr>
        <w:top w:val="none" w:sz="0" w:space="0" w:color="auto"/>
        <w:left w:val="none" w:sz="0" w:space="0" w:color="auto"/>
        <w:bottom w:val="none" w:sz="0" w:space="0" w:color="auto"/>
        <w:right w:val="none" w:sz="0" w:space="0" w:color="auto"/>
      </w:divBdr>
      <w:divsChild>
        <w:div w:id="905412474">
          <w:marLeft w:val="0"/>
          <w:marRight w:val="0"/>
          <w:marTop w:val="0"/>
          <w:marBottom w:val="0"/>
          <w:divBdr>
            <w:top w:val="none" w:sz="0" w:space="0" w:color="auto"/>
            <w:left w:val="none" w:sz="0" w:space="0" w:color="auto"/>
            <w:bottom w:val="none" w:sz="0" w:space="0" w:color="auto"/>
            <w:right w:val="none" w:sz="0" w:space="0" w:color="auto"/>
          </w:divBdr>
        </w:div>
        <w:div w:id="255019560">
          <w:marLeft w:val="0"/>
          <w:marRight w:val="0"/>
          <w:marTop w:val="0"/>
          <w:marBottom w:val="0"/>
          <w:divBdr>
            <w:top w:val="none" w:sz="0" w:space="0" w:color="auto"/>
            <w:left w:val="none" w:sz="0" w:space="0" w:color="auto"/>
            <w:bottom w:val="none" w:sz="0" w:space="0" w:color="auto"/>
            <w:right w:val="none" w:sz="0" w:space="0" w:color="auto"/>
          </w:divBdr>
        </w:div>
        <w:div w:id="2107380063">
          <w:marLeft w:val="0"/>
          <w:marRight w:val="0"/>
          <w:marTop w:val="0"/>
          <w:marBottom w:val="0"/>
          <w:divBdr>
            <w:top w:val="none" w:sz="0" w:space="0" w:color="auto"/>
            <w:left w:val="none" w:sz="0" w:space="0" w:color="auto"/>
            <w:bottom w:val="none" w:sz="0" w:space="0" w:color="auto"/>
            <w:right w:val="none" w:sz="0" w:space="0" w:color="auto"/>
          </w:divBdr>
        </w:div>
      </w:divsChild>
    </w:div>
    <w:div w:id="1809319924">
      <w:marLeft w:val="0"/>
      <w:marRight w:val="0"/>
      <w:marTop w:val="0"/>
      <w:marBottom w:val="0"/>
      <w:divBdr>
        <w:top w:val="none" w:sz="0" w:space="0" w:color="auto"/>
        <w:left w:val="none" w:sz="0" w:space="0" w:color="auto"/>
        <w:bottom w:val="none" w:sz="0" w:space="0" w:color="auto"/>
        <w:right w:val="none" w:sz="0" w:space="0" w:color="auto"/>
      </w:divBdr>
      <w:divsChild>
        <w:div w:id="1323512388">
          <w:marLeft w:val="0"/>
          <w:marRight w:val="0"/>
          <w:marTop w:val="0"/>
          <w:marBottom w:val="0"/>
          <w:divBdr>
            <w:top w:val="none" w:sz="0" w:space="0" w:color="auto"/>
            <w:left w:val="none" w:sz="0" w:space="0" w:color="auto"/>
            <w:bottom w:val="none" w:sz="0" w:space="0" w:color="auto"/>
            <w:right w:val="none" w:sz="0" w:space="0" w:color="auto"/>
          </w:divBdr>
        </w:div>
        <w:div w:id="1913350257">
          <w:marLeft w:val="0"/>
          <w:marRight w:val="0"/>
          <w:marTop w:val="0"/>
          <w:marBottom w:val="0"/>
          <w:divBdr>
            <w:top w:val="none" w:sz="0" w:space="0" w:color="auto"/>
            <w:left w:val="none" w:sz="0" w:space="0" w:color="auto"/>
            <w:bottom w:val="none" w:sz="0" w:space="0" w:color="auto"/>
            <w:right w:val="none" w:sz="0" w:space="0" w:color="auto"/>
          </w:divBdr>
        </w:div>
      </w:divsChild>
    </w:div>
    <w:div w:id="1853495952">
      <w:marLeft w:val="0"/>
      <w:marRight w:val="0"/>
      <w:marTop w:val="0"/>
      <w:marBottom w:val="0"/>
      <w:divBdr>
        <w:top w:val="none" w:sz="0" w:space="0" w:color="auto"/>
        <w:left w:val="none" w:sz="0" w:space="0" w:color="auto"/>
        <w:bottom w:val="none" w:sz="0" w:space="0" w:color="auto"/>
        <w:right w:val="none" w:sz="0" w:space="0" w:color="auto"/>
      </w:divBdr>
      <w:divsChild>
        <w:div w:id="972712967">
          <w:marLeft w:val="0"/>
          <w:marRight w:val="0"/>
          <w:marTop w:val="0"/>
          <w:marBottom w:val="0"/>
          <w:divBdr>
            <w:top w:val="none" w:sz="0" w:space="0" w:color="auto"/>
            <w:left w:val="none" w:sz="0" w:space="0" w:color="auto"/>
            <w:bottom w:val="none" w:sz="0" w:space="0" w:color="auto"/>
            <w:right w:val="none" w:sz="0" w:space="0" w:color="auto"/>
          </w:divBdr>
        </w:div>
        <w:div w:id="1666515464">
          <w:marLeft w:val="0"/>
          <w:marRight w:val="0"/>
          <w:marTop w:val="0"/>
          <w:marBottom w:val="0"/>
          <w:divBdr>
            <w:top w:val="none" w:sz="0" w:space="0" w:color="auto"/>
            <w:left w:val="none" w:sz="0" w:space="0" w:color="auto"/>
            <w:bottom w:val="none" w:sz="0" w:space="0" w:color="auto"/>
            <w:right w:val="none" w:sz="0" w:space="0" w:color="auto"/>
          </w:divBdr>
        </w:div>
        <w:div w:id="1930693325">
          <w:marLeft w:val="0"/>
          <w:marRight w:val="0"/>
          <w:marTop w:val="0"/>
          <w:marBottom w:val="0"/>
          <w:divBdr>
            <w:top w:val="none" w:sz="0" w:space="0" w:color="auto"/>
            <w:left w:val="none" w:sz="0" w:space="0" w:color="auto"/>
            <w:bottom w:val="none" w:sz="0" w:space="0" w:color="auto"/>
            <w:right w:val="none" w:sz="0" w:space="0" w:color="auto"/>
          </w:divBdr>
        </w:div>
      </w:divsChild>
    </w:div>
    <w:div w:id="1865896243">
      <w:marLeft w:val="0"/>
      <w:marRight w:val="0"/>
      <w:marTop w:val="0"/>
      <w:marBottom w:val="0"/>
      <w:divBdr>
        <w:top w:val="none" w:sz="0" w:space="0" w:color="auto"/>
        <w:left w:val="none" w:sz="0" w:space="0" w:color="auto"/>
        <w:bottom w:val="none" w:sz="0" w:space="0" w:color="auto"/>
        <w:right w:val="none" w:sz="0" w:space="0" w:color="auto"/>
      </w:divBdr>
      <w:divsChild>
        <w:div w:id="865800382">
          <w:marLeft w:val="0"/>
          <w:marRight w:val="0"/>
          <w:marTop w:val="0"/>
          <w:marBottom w:val="0"/>
          <w:divBdr>
            <w:top w:val="none" w:sz="0" w:space="0" w:color="auto"/>
            <w:left w:val="none" w:sz="0" w:space="0" w:color="auto"/>
            <w:bottom w:val="none" w:sz="0" w:space="0" w:color="auto"/>
            <w:right w:val="none" w:sz="0" w:space="0" w:color="auto"/>
          </w:divBdr>
        </w:div>
        <w:div w:id="1223565761">
          <w:marLeft w:val="0"/>
          <w:marRight w:val="0"/>
          <w:marTop w:val="0"/>
          <w:marBottom w:val="0"/>
          <w:divBdr>
            <w:top w:val="none" w:sz="0" w:space="0" w:color="auto"/>
            <w:left w:val="none" w:sz="0" w:space="0" w:color="auto"/>
            <w:bottom w:val="none" w:sz="0" w:space="0" w:color="auto"/>
            <w:right w:val="none" w:sz="0" w:space="0" w:color="auto"/>
          </w:divBdr>
        </w:div>
      </w:divsChild>
    </w:div>
    <w:div w:id="1958368915">
      <w:marLeft w:val="0"/>
      <w:marRight w:val="0"/>
      <w:marTop w:val="0"/>
      <w:marBottom w:val="0"/>
      <w:divBdr>
        <w:top w:val="none" w:sz="0" w:space="0" w:color="auto"/>
        <w:left w:val="none" w:sz="0" w:space="0" w:color="auto"/>
        <w:bottom w:val="none" w:sz="0" w:space="0" w:color="auto"/>
        <w:right w:val="none" w:sz="0" w:space="0" w:color="auto"/>
      </w:divBdr>
      <w:divsChild>
        <w:div w:id="1763529568">
          <w:marLeft w:val="0"/>
          <w:marRight w:val="0"/>
          <w:marTop w:val="0"/>
          <w:marBottom w:val="0"/>
          <w:divBdr>
            <w:top w:val="none" w:sz="0" w:space="0" w:color="auto"/>
            <w:left w:val="none" w:sz="0" w:space="0" w:color="auto"/>
            <w:bottom w:val="none" w:sz="0" w:space="0" w:color="auto"/>
            <w:right w:val="none" w:sz="0" w:space="0" w:color="auto"/>
          </w:divBdr>
        </w:div>
        <w:div w:id="957684515">
          <w:marLeft w:val="0"/>
          <w:marRight w:val="0"/>
          <w:marTop w:val="0"/>
          <w:marBottom w:val="0"/>
          <w:divBdr>
            <w:top w:val="none" w:sz="0" w:space="0" w:color="auto"/>
            <w:left w:val="none" w:sz="0" w:space="0" w:color="auto"/>
            <w:bottom w:val="none" w:sz="0" w:space="0" w:color="auto"/>
            <w:right w:val="none" w:sz="0" w:space="0" w:color="auto"/>
          </w:divBdr>
        </w:div>
        <w:div w:id="630400059">
          <w:marLeft w:val="0"/>
          <w:marRight w:val="0"/>
          <w:marTop w:val="0"/>
          <w:marBottom w:val="0"/>
          <w:divBdr>
            <w:top w:val="none" w:sz="0" w:space="0" w:color="auto"/>
            <w:left w:val="none" w:sz="0" w:space="0" w:color="auto"/>
            <w:bottom w:val="none" w:sz="0" w:space="0" w:color="auto"/>
            <w:right w:val="none" w:sz="0" w:space="0" w:color="auto"/>
          </w:divBdr>
        </w:div>
        <w:div w:id="25913045">
          <w:marLeft w:val="0"/>
          <w:marRight w:val="0"/>
          <w:marTop w:val="0"/>
          <w:marBottom w:val="0"/>
          <w:divBdr>
            <w:top w:val="none" w:sz="0" w:space="0" w:color="auto"/>
            <w:left w:val="none" w:sz="0" w:space="0" w:color="auto"/>
            <w:bottom w:val="none" w:sz="0" w:space="0" w:color="auto"/>
            <w:right w:val="none" w:sz="0" w:space="0" w:color="auto"/>
          </w:divBdr>
        </w:div>
        <w:div w:id="625501406">
          <w:marLeft w:val="0"/>
          <w:marRight w:val="0"/>
          <w:marTop w:val="0"/>
          <w:marBottom w:val="0"/>
          <w:divBdr>
            <w:top w:val="none" w:sz="0" w:space="0" w:color="auto"/>
            <w:left w:val="none" w:sz="0" w:space="0" w:color="auto"/>
            <w:bottom w:val="none" w:sz="0" w:space="0" w:color="auto"/>
            <w:right w:val="none" w:sz="0" w:space="0" w:color="auto"/>
          </w:divBdr>
        </w:div>
        <w:div w:id="1143615696">
          <w:marLeft w:val="0"/>
          <w:marRight w:val="0"/>
          <w:marTop w:val="0"/>
          <w:marBottom w:val="0"/>
          <w:divBdr>
            <w:top w:val="none" w:sz="0" w:space="0" w:color="auto"/>
            <w:left w:val="none" w:sz="0" w:space="0" w:color="auto"/>
            <w:bottom w:val="none" w:sz="0" w:space="0" w:color="auto"/>
            <w:right w:val="none" w:sz="0" w:space="0" w:color="auto"/>
          </w:divBdr>
        </w:div>
        <w:div w:id="935601234">
          <w:marLeft w:val="0"/>
          <w:marRight w:val="0"/>
          <w:marTop w:val="0"/>
          <w:marBottom w:val="0"/>
          <w:divBdr>
            <w:top w:val="none" w:sz="0" w:space="0" w:color="auto"/>
            <w:left w:val="none" w:sz="0" w:space="0" w:color="auto"/>
            <w:bottom w:val="none" w:sz="0" w:space="0" w:color="auto"/>
            <w:right w:val="none" w:sz="0" w:space="0" w:color="auto"/>
          </w:divBdr>
        </w:div>
        <w:div w:id="1754862050">
          <w:marLeft w:val="0"/>
          <w:marRight w:val="0"/>
          <w:marTop w:val="0"/>
          <w:marBottom w:val="0"/>
          <w:divBdr>
            <w:top w:val="none" w:sz="0" w:space="0" w:color="auto"/>
            <w:left w:val="none" w:sz="0" w:space="0" w:color="auto"/>
            <w:bottom w:val="none" w:sz="0" w:space="0" w:color="auto"/>
            <w:right w:val="none" w:sz="0" w:space="0" w:color="auto"/>
          </w:divBdr>
        </w:div>
        <w:div w:id="231964279">
          <w:marLeft w:val="0"/>
          <w:marRight w:val="0"/>
          <w:marTop w:val="0"/>
          <w:marBottom w:val="0"/>
          <w:divBdr>
            <w:top w:val="none" w:sz="0" w:space="0" w:color="auto"/>
            <w:left w:val="none" w:sz="0" w:space="0" w:color="auto"/>
            <w:bottom w:val="none" w:sz="0" w:space="0" w:color="auto"/>
            <w:right w:val="none" w:sz="0" w:space="0" w:color="auto"/>
          </w:divBdr>
        </w:div>
        <w:div w:id="1124621384">
          <w:marLeft w:val="0"/>
          <w:marRight w:val="0"/>
          <w:marTop w:val="0"/>
          <w:marBottom w:val="0"/>
          <w:divBdr>
            <w:top w:val="none" w:sz="0" w:space="0" w:color="auto"/>
            <w:left w:val="none" w:sz="0" w:space="0" w:color="auto"/>
            <w:bottom w:val="none" w:sz="0" w:space="0" w:color="auto"/>
            <w:right w:val="none" w:sz="0" w:space="0" w:color="auto"/>
          </w:divBdr>
        </w:div>
        <w:div w:id="1346520092">
          <w:marLeft w:val="0"/>
          <w:marRight w:val="0"/>
          <w:marTop w:val="0"/>
          <w:marBottom w:val="0"/>
          <w:divBdr>
            <w:top w:val="none" w:sz="0" w:space="0" w:color="auto"/>
            <w:left w:val="none" w:sz="0" w:space="0" w:color="auto"/>
            <w:bottom w:val="none" w:sz="0" w:space="0" w:color="auto"/>
            <w:right w:val="none" w:sz="0" w:space="0" w:color="auto"/>
          </w:divBdr>
        </w:div>
        <w:div w:id="192036093">
          <w:marLeft w:val="0"/>
          <w:marRight w:val="0"/>
          <w:marTop w:val="0"/>
          <w:marBottom w:val="0"/>
          <w:divBdr>
            <w:top w:val="none" w:sz="0" w:space="0" w:color="auto"/>
            <w:left w:val="none" w:sz="0" w:space="0" w:color="auto"/>
            <w:bottom w:val="none" w:sz="0" w:space="0" w:color="auto"/>
            <w:right w:val="none" w:sz="0" w:space="0" w:color="auto"/>
          </w:divBdr>
        </w:div>
        <w:div w:id="1647659624">
          <w:marLeft w:val="0"/>
          <w:marRight w:val="0"/>
          <w:marTop w:val="0"/>
          <w:marBottom w:val="0"/>
          <w:divBdr>
            <w:top w:val="none" w:sz="0" w:space="0" w:color="auto"/>
            <w:left w:val="none" w:sz="0" w:space="0" w:color="auto"/>
            <w:bottom w:val="none" w:sz="0" w:space="0" w:color="auto"/>
            <w:right w:val="none" w:sz="0" w:space="0" w:color="auto"/>
          </w:divBdr>
        </w:div>
        <w:div w:id="215744895">
          <w:marLeft w:val="0"/>
          <w:marRight w:val="0"/>
          <w:marTop w:val="0"/>
          <w:marBottom w:val="0"/>
          <w:divBdr>
            <w:top w:val="none" w:sz="0" w:space="0" w:color="auto"/>
            <w:left w:val="none" w:sz="0" w:space="0" w:color="auto"/>
            <w:bottom w:val="none" w:sz="0" w:space="0" w:color="auto"/>
            <w:right w:val="none" w:sz="0" w:space="0" w:color="auto"/>
          </w:divBdr>
        </w:div>
      </w:divsChild>
    </w:div>
    <w:div w:id="1970479099">
      <w:marLeft w:val="0"/>
      <w:marRight w:val="0"/>
      <w:marTop w:val="0"/>
      <w:marBottom w:val="0"/>
      <w:divBdr>
        <w:top w:val="none" w:sz="0" w:space="0" w:color="auto"/>
        <w:left w:val="none" w:sz="0" w:space="0" w:color="auto"/>
        <w:bottom w:val="none" w:sz="0" w:space="0" w:color="auto"/>
        <w:right w:val="none" w:sz="0" w:space="0" w:color="auto"/>
      </w:divBdr>
      <w:divsChild>
        <w:div w:id="1529560899">
          <w:marLeft w:val="0"/>
          <w:marRight w:val="0"/>
          <w:marTop w:val="0"/>
          <w:marBottom w:val="0"/>
          <w:divBdr>
            <w:top w:val="none" w:sz="0" w:space="0" w:color="auto"/>
            <w:left w:val="none" w:sz="0" w:space="0" w:color="auto"/>
            <w:bottom w:val="none" w:sz="0" w:space="0" w:color="auto"/>
            <w:right w:val="none" w:sz="0" w:space="0" w:color="auto"/>
          </w:divBdr>
        </w:div>
        <w:div w:id="101346349">
          <w:marLeft w:val="0"/>
          <w:marRight w:val="0"/>
          <w:marTop w:val="0"/>
          <w:marBottom w:val="0"/>
          <w:divBdr>
            <w:top w:val="none" w:sz="0" w:space="0" w:color="auto"/>
            <w:left w:val="none" w:sz="0" w:space="0" w:color="auto"/>
            <w:bottom w:val="none" w:sz="0" w:space="0" w:color="auto"/>
            <w:right w:val="none" w:sz="0" w:space="0" w:color="auto"/>
          </w:divBdr>
        </w:div>
        <w:div w:id="642275334">
          <w:marLeft w:val="0"/>
          <w:marRight w:val="0"/>
          <w:marTop w:val="0"/>
          <w:marBottom w:val="0"/>
          <w:divBdr>
            <w:top w:val="none" w:sz="0" w:space="0" w:color="auto"/>
            <w:left w:val="none" w:sz="0" w:space="0" w:color="auto"/>
            <w:bottom w:val="none" w:sz="0" w:space="0" w:color="auto"/>
            <w:right w:val="none" w:sz="0" w:space="0" w:color="auto"/>
          </w:divBdr>
        </w:div>
        <w:div w:id="98990132">
          <w:marLeft w:val="0"/>
          <w:marRight w:val="0"/>
          <w:marTop w:val="0"/>
          <w:marBottom w:val="0"/>
          <w:divBdr>
            <w:top w:val="none" w:sz="0" w:space="0" w:color="auto"/>
            <w:left w:val="none" w:sz="0" w:space="0" w:color="auto"/>
            <w:bottom w:val="none" w:sz="0" w:space="0" w:color="auto"/>
            <w:right w:val="none" w:sz="0" w:space="0" w:color="auto"/>
          </w:divBdr>
        </w:div>
        <w:div w:id="549997458">
          <w:marLeft w:val="0"/>
          <w:marRight w:val="0"/>
          <w:marTop w:val="0"/>
          <w:marBottom w:val="0"/>
          <w:divBdr>
            <w:top w:val="none" w:sz="0" w:space="0" w:color="auto"/>
            <w:left w:val="none" w:sz="0" w:space="0" w:color="auto"/>
            <w:bottom w:val="none" w:sz="0" w:space="0" w:color="auto"/>
            <w:right w:val="none" w:sz="0" w:space="0" w:color="auto"/>
          </w:divBdr>
        </w:div>
        <w:div w:id="838227317">
          <w:marLeft w:val="0"/>
          <w:marRight w:val="0"/>
          <w:marTop w:val="0"/>
          <w:marBottom w:val="0"/>
          <w:divBdr>
            <w:top w:val="none" w:sz="0" w:space="0" w:color="auto"/>
            <w:left w:val="none" w:sz="0" w:space="0" w:color="auto"/>
            <w:bottom w:val="none" w:sz="0" w:space="0" w:color="auto"/>
            <w:right w:val="none" w:sz="0" w:space="0" w:color="auto"/>
          </w:divBdr>
        </w:div>
        <w:div w:id="505827473">
          <w:marLeft w:val="0"/>
          <w:marRight w:val="0"/>
          <w:marTop w:val="0"/>
          <w:marBottom w:val="0"/>
          <w:divBdr>
            <w:top w:val="none" w:sz="0" w:space="0" w:color="auto"/>
            <w:left w:val="none" w:sz="0" w:space="0" w:color="auto"/>
            <w:bottom w:val="none" w:sz="0" w:space="0" w:color="auto"/>
            <w:right w:val="none" w:sz="0" w:space="0" w:color="auto"/>
          </w:divBdr>
        </w:div>
        <w:div w:id="1983264036">
          <w:marLeft w:val="0"/>
          <w:marRight w:val="0"/>
          <w:marTop w:val="0"/>
          <w:marBottom w:val="0"/>
          <w:divBdr>
            <w:top w:val="none" w:sz="0" w:space="0" w:color="auto"/>
            <w:left w:val="none" w:sz="0" w:space="0" w:color="auto"/>
            <w:bottom w:val="none" w:sz="0" w:space="0" w:color="auto"/>
            <w:right w:val="none" w:sz="0" w:space="0" w:color="auto"/>
          </w:divBdr>
        </w:div>
        <w:div w:id="1026175673">
          <w:marLeft w:val="0"/>
          <w:marRight w:val="0"/>
          <w:marTop w:val="0"/>
          <w:marBottom w:val="0"/>
          <w:divBdr>
            <w:top w:val="none" w:sz="0" w:space="0" w:color="auto"/>
            <w:left w:val="none" w:sz="0" w:space="0" w:color="auto"/>
            <w:bottom w:val="none" w:sz="0" w:space="0" w:color="auto"/>
            <w:right w:val="none" w:sz="0" w:space="0" w:color="auto"/>
          </w:divBdr>
        </w:div>
        <w:div w:id="70392457">
          <w:marLeft w:val="0"/>
          <w:marRight w:val="0"/>
          <w:marTop w:val="0"/>
          <w:marBottom w:val="0"/>
          <w:divBdr>
            <w:top w:val="none" w:sz="0" w:space="0" w:color="auto"/>
            <w:left w:val="none" w:sz="0" w:space="0" w:color="auto"/>
            <w:bottom w:val="none" w:sz="0" w:space="0" w:color="auto"/>
            <w:right w:val="none" w:sz="0" w:space="0" w:color="auto"/>
          </w:divBdr>
        </w:div>
        <w:div w:id="27994533">
          <w:marLeft w:val="0"/>
          <w:marRight w:val="0"/>
          <w:marTop w:val="0"/>
          <w:marBottom w:val="0"/>
          <w:divBdr>
            <w:top w:val="none" w:sz="0" w:space="0" w:color="auto"/>
            <w:left w:val="none" w:sz="0" w:space="0" w:color="auto"/>
            <w:bottom w:val="none" w:sz="0" w:space="0" w:color="auto"/>
            <w:right w:val="none" w:sz="0" w:space="0" w:color="auto"/>
          </w:divBdr>
        </w:div>
        <w:div w:id="1057708318">
          <w:marLeft w:val="0"/>
          <w:marRight w:val="0"/>
          <w:marTop w:val="0"/>
          <w:marBottom w:val="0"/>
          <w:divBdr>
            <w:top w:val="none" w:sz="0" w:space="0" w:color="auto"/>
            <w:left w:val="none" w:sz="0" w:space="0" w:color="auto"/>
            <w:bottom w:val="none" w:sz="0" w:space="0" w:color="auto"/>
            <w:right w:val="none" w:sz="0" w:space="0" w:color="auto"/>
          </w:divBdr>
        </w:div>
        <w:div w:id="1927692836">
          <w:marLeft w:val="0"/>
          <w:marRight w:val="0"/>
          <w:marTop w:val="0"/>
          <w:marBottom w:val="0"/>
          <w:divBdr>
            <w:top w:val="none" w:sz="0" w:space="0" w:color="auto"/>
            <w:left w:val="none" w:sz="0" w:space="0" w:color="auto"/>
            <w:bottom w:val="none" w:sz="0" w:space="0" w:color="auto"/>
            <w:right w:val="none" w:sz="0" w:space="0" w:color="auto"/>
          </w:divBdr>
        </w:div>
      </w:divsChild>
    </w:div>
    <w:div w:id="2059237861">
      <w:marLeft w:val="0"/>
      <w:marRight w:val="0"/>
      <w:marTop w:val="0"/>
      <w:marBottom w:val="0"/>
      <w:divBdr>
        <w:top w:val="none" w:sz="0" w:space="0" w:color="auto"/>
        <w:left w:val="none" w:sz="0" w:space="0" w:color="auto"/>
        <w:bottom w:val="none" w:sz="0" w:space="0" w:color="auto"/>
        <w:right w:val="none" w:sz="0" w:space="0" w:color="auto"/>
      </w:divBdr>
      <w:divsChild>
        <w:div w:id="1767380189">
          <w:marLeft w:val="0"/>
          <w:marRight w:val="0"/>
          <w:marTop w:val="0"/>
          <w:marBottom w:val="0"/>
          <w:divBdr>
            <w:top w:val="none" w:sz="0" w:space="0" w:color="auto"/>
            <w:left w:val="none" w:sz="0" w:space="0" w:color="auto"/>
            <w:bottom w:val="none" w:sz="0" w:space="0" w:color="auto"/>
            <w:right w:val="none" w:sz="0" w:space="0" w:color="auto"/>
          </w:divBdr>
        </w:div>
      </w:divsChild>
    </w:div>
    <w:div w:id="2087990277">
      <w:marLeft w:val="0"/>
      <w:marRight w:val="0"/>
      <w:marTop w:val="0"/>
      <w:marBottom w:val="0"/>
      <w:divBdr>
        <w:top w:val="none" w:sz="0" w:space="0" w:color="auto"/>
        <w:left w:val="none" w:sz="0" w:space="0" w:color="auto"/>
        <w:bottom w:val="none" w:sz="0" w:space="0" w:color="auto"/>
        <w:right w:val="none" w:sz="0" w:space="0" w:color="auto"/>
      </w:divBdr>
      <w:divsChild>
        <w:div w:id="11560726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2022-03-07T07:26:00Z</dcterms:created>
  <dcterms:modified xsi:type="dcterms:W3CDTF">2022-03-07T07:26:00Z</dcterms:modified>
</cp:coreProperties>
</file>